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31" w:rsidRDefault="00AF6431" w:rsidP="006432E7">
      <w:pPr>
        <w:tabs>
          <w:tab w:val="left" w:pos="5670"/>
        </w:tabs>
        <w:spacing w:before="60" w:after="60" w:line="240" w:lineRule="auto"/>
        <w:ind w:left="5670"/>
        <w:jc w:val="both"/>
        <w:rPr>
          <w:rFonts w:ascii="Georgia" w:hAnsi="Georgia"/>
          <w:sz w:val="24"/>
          <w:szCs w:val="24"/>
        </w:rPr>
      </w:pPr>
    </w:p>
    <w:p w:rsidR="0073706A" w:rsidRDefault="0073706A" w:rsidP="00647154">
      <w:pPr>
        <w:tabs>
          <w:tab w:val="left" w:pos="5670"/>
        </w:tabs>
        <w:spacing w:before="60" w:after="60" w:line="240" w:lineRule="auto"/>
        <w:jc w:val="center"/>
        <w:rPr>
          <w:rFonts w:ascii="Cambria" w:hAnsi="Cambria"/>
          <w:b/>
          <w:sz w:val="32"/>
          <w:szCs w:val="32"/>
        </w:rPr>
      </w:pPr>
    </w:p>
    <w:p w:rsidR="0073706A" w:rsidRDefault="0073706A" w:rsidP="00647154">
      <w:pPr>
        <w:tabs>
          <w:tab w:val="left" w:pos="5670"/>
        </w:tabs>
        <w:spacing w:before="60" w:after="60" w:line="240" w:lineRule="auto"/>
        <w:jc w:val="center"/>
        <w:rPr>
          <w:rFonts w:ascii="Cambria" w:hAnsi="Cambria"/>
          <w:b/>
          <w:sz w:val="32"/>
          <w:szCs w:val="32"/>
        </w:rPr>
      </w:pPr>
    </w:p>
    <w:p w:rsidR="007F06E4" w:rsidRPr="00647154" w:rsidRDefault="00647154" w:rsidP="00647154">
      <w:pPr>
        <w:tabs>
          <w:tab w:val="left" w:pos="5670"/>
        </w:tabs>
        <w:spacing w:before="60" w:after="60" w:line="240" w:lineRule="auto"/>
        <w:jc w:val="center"/>
        <w:rPr>
          <w:rFonts w:ascii="Cambria" w:hAnsi="Cambria"/>
          <w:b/>
          <w:sz w:val="32"/>
          <w:szCs w:val="32"/>
        </w:rPr>
      </w:pPr>
      <w:r w:rsidRPr="00647154">
        <w:rPr>
          <w:rFonts w:ascii="Cambria" w:hAnsi="Cambria"/>
          <w:b/>
          <w:sz w:val="32"/>
          <w:szCs w:val="32"/>
        </w:rPr>
        <w:t>COMUNICATO STAMPA</w:t>
      </w:r>
    </w:p>
    <w:p w:rsidR="00D72B4B" w:rsidRPr="00647154" w:rsidRDefault="00D72B4B" w:rsidP="006432E7">
      <w:pPr>
        <w:tabs>
          <w:tab w:val="left" w:pos="5670"/>
        </w:tabs>
        <w:spacing w:before="60" w:after="60" w:line="240" w:lineRule="auto"/>
        <w:jc w:val="both"/>
        <w:rPr>
          <w:rFonts w:ascii="Cambria" w:hAnsi="Cambria"/>
          <w:sz w:val="25"/>
          <w:szCs w:val="25"/>
        </w:rPr>
      </w:pPr>
    </w:p>
    <w:p w:rsidR="00D72B4B" w:rsidRPr="00647154" w:rsidRDefault="00D72B4B" w:rsidP="00BB6701">
      <w:pPr>
        <w:spacing w:before="60" w:after="60" w:line="240" w:lineRule="auto"/>
        <w:jc w:val="both"/>
        <w:rPr>
          <w:rFonts w:ascii="Cambria" w:hAnsi="Cambria"/>
          <w:sz w:val="25"/>
          <w:szCs w:val="25"/>
        </w:rPr>
      </w:pPr>
    </w:p>
    <w:p w:rsidR="00902243" w:rsidRPr="00561628" w:rsidRDefault="00647154" w:rsidP="00BB6701">
      <w:pPr>
        <w:spacing w:before="60" w:after="60" w:line="240" w:lineRule="auto"/>
        <w:jc w:val="both"/>
        <w:rPr>
          <w:rFonts w:ascii="Cambria" w:hAnsi="Cambria"/>
          <w:b/>
          <w:sz w:val="25"/>
          <w:szCs w:val="25"/>
        </w:rPr>
      </w:pPr>
      <w:r w:rsidRPr="00561628">
        <w:rPr>
          <w:rFonts w:ascii="Cambria" w:hAnsi="Cambria"/>
          <w:b/>
          <w:sz w:val="25"/>
          <w:szCs w:val="25"/>
        </w:rPr>
        <w:t xml:space="preserve">Offensiva </w:t>
      </w:r>
      <w:r w:rsidR="00EF7169">
        <w:rPr>
          <w:rFonts w:ascii="Cambria" w:hAnsi="Cambria"/>
          <w:b/>
          <w:sz w:val="25"/>
          <w:szCs w:val="25"/>
        </w:rPr>
        <w:t xml:space="preserve">UDC </w:t>
      </w:r>
      <w:r w:rsidR="00EF7169" w:rsidRPr="00561628">
        <w:rPr>
          <w:rFonts w:ascii="Cambria" w:hAnsi="Cambria"/>
          <w:b/>
          <w:sz w:val="25"/>
          <w:szCs w:val="25"/>
        </w:rPr>
        <w:t>in Ticino e a Berna</w:t>
      </w:r>
      <w:r w:rsidRPr="00561628">
        <w:rPr>
          <w:rFonts w:ascii="Cambria" w:hAnsi="Cambria"/>
          <w:b/>
          <w:sz w:val="25"/>
          <w:szCs w:val="25"/>
        </w:rPr>
        <w:t xml:space="preserve"> per </w:t>
      </w:r>
      <w:r w:rsidR="0026733A" w:rsidRPr="00561628">
        <w:rPr>
          <w:rFonts w:ascii="Cambria" w:hAnsi="Cambria"/>
          <w:b/>
          <w:sz w:val="25"/>
          <w:szCs w:val="25"/>
        </w:rPr>
        <w:t xml:space="preserve">deduzione </w:t>
      </w:r>
      <w:r w:rsidR="00EF7169">
        <w:rPr>
          <w:rFonts w:ascii="Cambria" w:hAnsi="Cambria"/>
          <w:b/>
          <w:sz w:val="25"/>
          <w:szCs w:val="25"/>
        </w:rPr>
        <w:t xml:space="preserve">fiscale dei </w:t>
      </w:r>
      <w:r w:rsidR="0026733A" w:rsidRPr="00561628">
        <w:rPr>
          <w:rFonts w:ascii="Cambria" w:hAnsi="Cambria"/>
          <w:b/>
          <w:sz w:val="25"/>
          <w:szCs w:val="25"/>
        </w:rPr>
        <w:t xml:space="preserve">premi cassa malati </w:t>
      </w:r>
    </w:p>
    <w:p w:rsidR="007F06E4" w:rsidRPr="00561628" w:rsidRDefault="007F06E4" w:rsidP="009D040A">
      <w:pPr>
        <w:spacing w:after="0" w:line="240" w:lineRule="auto"/>
        <w:jc w:val="both"/>
        <w:rPr>
          <w:rFonts w:ascii="Cambria" w:hAnsi="Cambria"/>
          <w:b/>
          <w:sz w:val="24"/>
          <w:szCs w:val="24"/>
        </w:rPr>
      </w:pPr>
    </w:p>
    <w:p w:rsidR="00417904" w:rsidRPr="00561628" w:rsidRDefault="0026733A" w:rsidP="009D040A">
      <w:pPr>
        <w:spacing w:beforeLines="100" w:before="240" w:afterLines="100" w:after="240" w:line="240" w:lineRule="auto"/>
        <w:jc w:val="both"/>
        <w:rPr>
          <w:rFonts w:ascii="Cambria" w:eastAsia="Times New Roman" w:hAnsi="Cambria"/>
          <w:b/>
          <w:sz w:val="24"/>
          <w:szCs w:val="24"/>
        </w:rPr>
      </w:pPr>
      <w:r w:rsidRPr="00561628">
        <w:rPr>
          <w:rFonts w:ascii="Cambria" w:eastAsia="Times New Roman" w:hAnsi="Cambria"/>
          <w:b/>
          <w:sz w:val="24"/>
          <w:szCs w:val="24"/>
        </w:rPr>
        <w:t>Spettabili redazioni,</w:t>
      </w:r>
    </w:p>
    <w:p w:rsidR="00DE343F" w:rsidRPr="00561628" w:rsidRDefault="006B2812" w:rsidP="009D040A">
      <w:pPr>
        <w:spacing w:beforeLines="100" w:before="240" w:afterLines="100" w:after="240" w:line="240" w:lineRule="auto"/>
        <w:jc w:val="both"/>
        <w:rPr>
          <w:rFonts w:ascii="Cambria" w:eastAsia="Times New Roman" w:hAnsi="Cambria"/>
          <w:b/>
          <w:sz w:val="24"/>
          <w:szCs w:val="24"/>
        </w:rPr>
      </w:pPr>
      <w:r w:rsidRPr="00561628">
        <w:rPr>
          <w:rFonts w:ascii="Cambria" w:eastAsia="Times New Roman" w:hAnsi="Cambria"/>
          <w:b/>
          <w:sz w:val="24"/>
          <w:szCs w:val="24"/>
        </w:rPr>
        <w:t xml:space="preserve">il costo per i premi di cassa </w:t>
      </w:r>
      <w:r w:rsidR="00B64CAC">
        <w:rPr>
          <w:rFonts w:ascii="Cambria" w:eastAsia="Times New Roman" w:hAnsi="Cambria"/>
          <w:b/>
          <w:sz w:val="24"/>
          <w:szCs w:val="24"/>
        </w:rPr>
        <w:t>malati in 15 anni è aumentato</w:t>
      </w:r>
      <w:r w:rsidRPr="00561628">
        <w:rPr>
          <w:rFonts w:ascii="Cambria" w:eastAsia="Times New Roman" w:hAnsi="Cambria"/>
          <w:b/>
          <w:sz w:val="24"/>
          <w:szCs w:val="24"/>
        </w:rPr>
        <w:t xml:space="preserve"> </w:t>
      </w:r>
      <w:r w:rsidR="00B64CAC">
        <w:rPr>
          <w:rFonts w:ascii="Cambria" w:eastAsia="Times New Roman" w:hAnsi="Cambria"/>
          <w:b/>
          <w:sz w:val="24"/>
          <w:szCs w:val="24"/>
        </w:rPr>
        <w:t>sensibilmente</w:t>
      </w:r>
      <w:r w:rsidRPr="00561628">
        <w:rPr>
          <w:rFonts w:ascii="Cambria" w:eastAsia="Times New Roman" w:hAnsi="Cambria"/>
          <w:b/>
          <w:sz w:val="24"/>
          <w:szCs w:val="24"/>
        </w:rPr>
        <w:t xml:space="preserve"> (</w:t>
      </w:r>
      <w:r w:rsidR="00D97493">
        <w:rPr>
          <w:rFonts w:ascii="Cambria" w:eastAsia="Times New Roman" w:hAnsi="Cambria"/>
          <w:b/>
          <w:sz w:val="24"/>
          <w:szCs w:val="24"/>
        </w:rPr>
        <w:t>+</w:t>
      </w:r>
      <w:r w:rsidRPr="00561628">
        <w:rPr>
          <w:rFonts w:ascii="Cambria" w:eastAsia="Times New Roman" w:hAnsi="Cambria"/>
          <w:b/>
          <w:sz w:val="24"/>
          <w:szCs w:val="24"/>
        </w:rPr>
        <w:t>63,7%), le deduzioni fiscali ammesse alla voce “oneri assicurativi” sono rimaste pressoché inv</w:t>
      </w:r>
      <w:r w:rsidR="00F3567F">
        <w:rPr>
          <w:rFonts w:ascii="Cambria" w:eastAsia="Times New Roman" w:hAnsi="Cambria"/>
          <w:b/>
          <w:sz w:val="24"/>
          <w:szCs w:val="24"/>
        </w:rPr>
        <w:t xml:space="preserve">ariate. </w:t>
      </w:r>
      <w:r w:rsidR="00053A07" w:rsidRPr="00561628">
        <w:rPr>
          <w:rFonts w:ascii="Cambria" w:eastAsia="Times New Roman" w:hAnsi="Cambria"/>
          <w:b/>
          <w:sz w:val="24"/>
          <w:szCs w:val="24"/>
        </w:rPr>
        <w:t>A pagarne le conseguenze</w:t>
      </w:r>
      <w:r w:rsidRPr="00561628">
        <w:rPr>
          <w:rFonts w:ascii="Cambria" w:eastAsia="Times New Roman" w:hAnsi="Cambria"/>
          <w:b/>
          <w:sz w:val="24"/>
          <w:szCs w:val="24"/>
        </w:rPr>
        <w:t xml:space="preserve"> è il ceto medio, le famiglie con figli in particolare. Oltre a pagare interamente il costo dei premi </w:t>
      </w:r>
      <w:r w:rsidR="00891DC2" w:rsidRPr="00561628">
        <w:rPr>
          <w:rFonts w:ascii="Cambria" w:eastAsia="Times New Roman" w:hAnsi="Cambria"/>
          <w:b/>
          <w:sz w:val="24"/>
          <w:szCs w:val="24"/>
        </w:rPr>
        <w:t xml:space="preserve">e </w:t>
      </w:r>
      <w:r w:rsidR="00923159" w:rsidRPr="00561628">
        <w:rPr>
          <w:rFonts w:ascii="Cambria" w:eastAsia="Times New Roman" w:hAnsi="Cambria"/>
          <w:b/>
          <w:sz w:val="24"/>
          <w:szCs w:val="24"/>
        </w:rPr>
        <w:t>non beneficiare</w:t>
      </w:r>
      <w:r w:rsidRPr="00561628">
        <w:rPr>
          <w:rFonts w:ascii="Cambria" w:eastAsia="Times New Roman" w:hAnsi="Cambria"/>
          <w:b/>
          <w:sz w:val="24"/>
          <w:szCs w:val="24"/>
        </w:rPr>
        <w:t xml:space="preserve"> d</w:t>
      </w:r>
      <w:r w:rsidR="00053A07" w:rsidRPr="00561628">
        <w:rPr>
          <w:rFonts w:ascii="Cambria" w:eastAsia="Times New Roman" w:hAnsi="Cambria"/>
          <w:b/>
          <w:sz w:val="24"/>
          <w:szCs w:val="24"/>
        </w:rPr>
        <w:t>i</w:t>
      </w:r>
      <w:r w:rsidR="00891DC2" w:rsidRPr="00561628">
        <w:rPr>
          <w:rFonts w:ascii="Cambria" w:eastAsia="Times New Roman" w:hAnsi="Cambria"/>
          <w:b/>
          <w:sz w:val="24"/>
          <w:szCs w:val="24"/>
        </w:rPr>
        <w:t xml:space="preserve"> sussidi elargiti dallo Stato, </w:t>
      </w:r>
      <w:r w:rsidRPr="00561628">
        <w:rPr>
          <w:rFonts w:ascii="Cambria" w:eastAsia="Times New Roman" w:hAnsi="Cambria"/>
          <w:b/>
          <w:sz w:val="24"/>
          <w:szCs w:val="24"/>
        </w:rPr>
        <w:t xml:space="preserve">non possono </w:t>
      </w:r>
      <w:r w:rsidR="00053A07" w:rsidRPr="00561628">
        <w:rPr>
          <w:rFonts w:ascii="Cambria" w:eastAsia="Times New Roman" w:hAnsi="Cambria"/>
          <w:b/>
          <w:sz w:val="24"/>
          <w:szCs w:val="24"/>
        </w:rPr>
        <w:t xml:space="preserve">neppure </w:t>
      </w:r>
      <w:r w:rsidRPr="00561628">
        <w:rPr>
          <w:rFonts w:ascii="Cambria" w:eastAsia="Times New Roman" w:hAnsi="Cambria"/>
          <w:b/>
          <w:sz w:val="24"/>
          <w:szCs w:val="24"/>
        </w:rPr>
        <w:t>dedurre il totale dell’importo</w:t>
      </w:r>
      <w:r w:rsidR="00053A07" w:rsidRPr="00561628">
        <w:rPr>
          <w:rFonts w:ascii="Cambria" w:eastAsia="Times New Roman" w:hAnsi="Cambria"/>
          <w:b/>
          <w:sz w:val="24"/>
          <w:szCs w:val="24"/>
        </w:rPr>
        <w:t xml:space="preserve"> versato</w:t>
      </w:r>
      <w:r w:rsidRPr="00561628">
        <w:rPr>
          <w:rFonts w:ascii="Cambria" w:eastAsia="Times New Roman" w:hAnsi="Cambria"/>
          <w:b/>
          <w:sz w:val="24"/>
          <w:szCs w:val="24"/>
        </w:rPr>
        <w:t xml:space="preserve">. L’assicurazione cassa malati per una famiglia con figli è probabilmente la voce di spesa più importante nell’economia domestica, spesso </w:t>
      </w:r>
      <w:r w:rsidR="00053A07" w:rsidRPr="00561628">
        <w:rPr>
          <w:rFonts w:ascii="Cambria" w:eastAsia="Times New Roman" w:hAnsi="Cambria"/>
          <w:b/>
          <w:sz w:val="24"/>
          <w:szCs w:val="24"/>
        </w:rPr>
        <w:t xml:space="preserve">anche </w:t>
      </w:r>
      <w:r w:rsidRPr="00561628">
        <w:rPr>
          <w:rFonts w:ascii="Cambria" w:eastAsia="Times New Roman" w:hAnsi="Cambria"/>
          <w:b/>
          <w:sz w:val="24"/>
          <w:szCs w:val="24"/>
        </w:rPr>
        <w:t>più alt</w:t>
      </w:r>
      <w:r w:rsidR="00053A07" w:rsidRPr="00561628">
        <w:rPr>
          <w:rFonts w:ascii="Cambria" w:eastAsia="Times New Roman" w:hAnsi="Cambria"/>
          <w:b/>
          <w:sz w:val="24"/>
          <w:szCs w:val="24"/>
        </w:rPr>
        <w:t>a dell’affitto o del costo della casa di proprietà. È ora di agire per cercare d</w:t>
      </w:r>
      <w:r w:rsidR="00C416E7" w:rsidRPr="00561628">
        <w:rPr>
          <w:rFonts w:ascii="Cambria" w:eastAsia="Times New Roman" w:hAnsi="Cambria"/>
          <w:b/>
          <w:sz w:val="24"/>
          <w:szCs w:val="24"/>
        </w:rPr>
        <w:t>i calmierare questo fenomeno dell’</w:t>
      </w:r>
      <w:r w:rsidR="00053A07" w:rsidRPr="00561628">
        <w:rPr>
          <w:rFonts w:ascii="Cambria" w:eastAsia="Times New Roman" w:hAnsi="Cambria"/>
          <w:b/>
          <w:sz w:val="24"/>
          <w:szCs w:val="24"/>
        </w:rPr>
        <w:t xml:space="preserve">aumento dei </w:t>
      </w:r>
      <w:r w:rsidR="00DE343F" w:rsidRPr="00561628">
        <w:rPr>
          <w:rFonts w:ascii="Cambria" w:eastAsia="Times New Roman" w:hAnsi="Cambria"/>
          <w:b/>
          <w:sz w:val="24"/>
          <w:szCs w:val="24"/>
        </w:rPr>
        <w:t xml:space="preserve">premi, anche attraverso la politica </w:t>
      </w:r>
      <w:r w:rsidR="00053A07" w:rsidRPr="00561628">
        <w:rPr>
          <w:rFonts w:ascii="Cambria" w:eastAsia="Times New Roman" w:hAnsi="Cambria"/>
          <w:b/>
          <w:sz w:val="24"/>
          <w:szCs w:val="24"/>
        </w:rPr>
        <w:t>fiscale.</w:t>
      </w:r>
    </w:p>
    <w:p w:rsidR="0026733A" w:rsidRPr="00561628" w:rsidRDefault="00DE343F" w:rsidP="009D040A">
      <w:pPr>
        <w:spacing w:beforeLines="100" w:before="240" w:afterLines="100" w:after="240" w:line="240" w:lineRule="auto"/>
        <w:jc w:val="both"/>
        <w:rPr>
          <w:rFonts w:ascii="Cambria" w:eastAsia="Times New Roman" w:hAnsi="Cambria"/>
          <w:b/>
          <w:sz w:val="24"/>
          <w:szCs w:val="24"/>
        </w:rPr>
      </w:pPr>
      <w:r w:rsidRPr="00561628">
        <w:rPr>
          <w:rFonts w:ascii="Cambria" w:eastAsia="Times New Roman" w:hAnsi="Cambria"/>
          <w:b/>
          <w:sz w:val="24"/>
          <w:szCs w:val="24"/>
        </w:rPr>
        <w:t>Sono dunque stati depositati due atti parlamentari</w:t>
      </w:r>
      <w:r w:rsidR="0026733A" w:rsidRPr="00561628">
        <w:rPr>
          <w:rFonts w:ascii="Cambria" w:eastAsia="Times New Roman" w:hAnsi="Cambria"/>
          <w:b/>
          <w:sz w:val="24"/>
          <w:szCs w:val="24"/>
        </w:rPr>
        <w:t xml:space="preserve"> dai deputati Consigliere nazionale Marco Chiesa e Gran consigliere Gabriele Pinoja, relative all’aumento della deducibilità dei premi dell’assicurazione malattia nell’imposta federale diretta e nella legge tributaria cant</w:t>
      </w:r>
      <w:r w:rsidR="00C416E7" w:rsidRPr="00561628">
        <w:rPr>
          <w:rFonts w:ascii="Cambria" w:eastAsia="Times New Roman" w:hAnsi="Cambria"/>
          <w:b/>
          <w:sz w:val="24"/>
          <w:szCs w:val="24"/>
        </w:rPr>
        <w:t>onale, per cercare di sfruttare tutto il margine di manovra possibile.</w:t>
      </w:r>
    </w:p>
    <w:p w:rsidR="00C416E7" w:rsidRPr="00561628" w:rsidRDefault="00C416E7" w:rsidP="00C416E7">
      <w:pPr>
        <w:spacing w:after="0" w:line="240" w:lineRule="auto"/>
        <w:jc w:val="both"/>
        <w:rPr>
          <w:rFonts w:ascii="Cambria" w:eastAsia="Times New Roman" w:hAnsi="Cambria"/>
          <w:b/>
          <w:sz w:val="24"/>
          <w:szCs w:val="24"/>
        </w:rPr>
      </w:pPr>
      <w:r w:rsidRPr="00561628">
        <w:rPr>
          <w:rFonts w:ascii="Cambria" w:eastAsia="Times New Roman" w:hAnsi="Cambria"/>
          <w:b/>
          <w:sz w:val="24"/>
          <w:szCs w:val="24"/>
        </w:rPr>
        <w:t>Con l’approvazione delle due proposte si potrà ottenere:</w:t>
      </w:r>
    </w:p>
    <w:p w:rsidR="00C416E7" w:rsidRPr="00561628" w:rsidRDefault="00C416E7" w:rsidP="00C416E7">
      <w:pPr>
        <w:pStyle w:val="Paragrafoelenco"/>
        <w:numPr>
          <w:ilvl w:val="0"/>
          <w:numId w:val="2"/>
        </w:numPr>
        <w:spacing w:after="0" w:line="240" w:lineRule="auto"/>
        <w:jc w:val="both"/>
        <w:rPr>
          <w:rFonts w:ascii="Cambria" w:eastAsia="Times New Roman" w:hAnsi="Cambria"/>
          <w:b/>
          <w:sz w:val="24"/>
          <w:szCs w:val="24"/>
        </w:rPr>
      </w:pPr>
      <w:r w:rsidRPr="00561628">
        <w:rPr>
          <w:rFonts w:ascii="Cambria" w:eastAsia="Times New Roman" w:hAnsi="Cambria"/>
          <w:b/>
          <w:sz w:val="24"/>
          <w:szCs w:val="24"/>
        </w:rPr>
        <w:t>Maggiore potere d’</w:t>
      </w:r>
      <w:r w:rsidR="00F3567F">
        <w:rPr>
          <w:rFonts w:ascii="Cambria" w:eastAsia="Times New Roman" w:hAnsi="Cambria"/>
          <w:b/>
          <w:sz w:val="24"/>
          <w:szCs w:val="24"/>
        </w:rPr>
        <w:t xml:space="preserve">acquisto per </w:t>
      </w:r>
      <w:r w:rsidRPr="00561628">
        <w:rPr>
          <w:rFonts w:ascii="Cambria" w:eastAsia="Times New Roman" w:hAnsi="Cambria"/>
          <w:b/>
          <w:sz w:val="24"/>
          <w:szCs w:val="24"/>
        </w:rPr>
        <w:t>le famiglie ticinesi del ceto medio;</w:t>
      </w:r>
    </w:p>
    <w:p w:rsidR="00C416E7" w:rsidRPr="00561628" w:rsidRDefault="00EF66F9" w:rsidP="00C416E7">
      <w:pPr>
        <w:pStyle w:val="Paragrafoelenco"/>
        <w:numPr>
          <w:ilvl w:val="0"/>
          <w:numId w:val="2"/>
        </w:numPr>
        <w:spacing w:after="0" w:line="240" w:lineRule="auto"/>
        <w:jc w:val="both"/>
        <w:rPr>
          <w:rFonts w:ascii="Cambria" w:eastAsia="Times New Roman" w:hAnsi="Cambria"/>
          <w:b/>
          <w:sz w:val="24"/>
          <w:szCs w:val="24"/>
        </w:rPr>
      </w:pPr>
      <w:r w:rsidRPr="00561628">
        <w:rPr>
          <w:rFonts w:ascii="Cambria" w:eastAsia="Times New Roman" w:hAnsi="Cambria"/>
          <w:b/>
          <w:sz w:val="24"/>
          <w:szCs w:val="24"/>
        </w:rPr>
        <w:t>Contenimento</w:t>
      </w:r>
      <w:r w:rsidR="00C416E7" w:rsidRPr="00561628">
        <w:rPr>
          <w:rFonts w:ascii="Cambria" w:eastAsia="Times New Roman" w:hAnsi="Cambria"/>
          <w:b/>
          <w:sz w:val="24"/>
          <w:szCs w:val="24"/>
        </w:rPr>
        <w:t xml:space="preserve"> dell’aumento dei premi di cassa malati </w:t>
      </w:r>
      <w:r w:rsidR="003B4AFE" w:rsidRPr="00561628">
        <w:rPr>
          <w:rFonts w:ascii="Cambria" w:eastAsia="Times New Roman" w:hAnsi="Cambria"/>
          <w:b/>
          <w:sz w:val="24"/>
          <w:szCs w:val="24"/>
        </w:rPr>
        <w:t xml:space="preserve">per le famiglie con figli </w:t>
      </w:r>
      <w:r w:rsidR="00C416E7" w:rsidRPr="00561628">
        <w:rPr>
          <w:rFonts w:ascii="Cambria" w:eastAsia="Times New Roman" w:hAnsi="Cambria"/>
          <w:b/>
          <w:sz w:val="24"/>
          <w:szCs w:val="24"/>
        </w:rPr>
        <w:t>attraverso la politica fiscale;</w:t>
      </w:r>
    </w:p>
    <w:p w:rsidR="00C416E7" w:rsidRPr="00561628" w:rsidRDefault="00C416E7" w:rsidP="00C416E7">
      <w:pPr>
        <w:pStyle w:val="Paragrafoelenco"/>
        <w:numPr>
          <w:ilvl w:val="0"/>
          <w:numId w:val="2"/>
        </w:numPr>
        <w:spacing w:after="0" w:line="240" w:lineRule="auto"/>
        <w:jc w:val="both"/>
        <w:rPr>
          <w:rFonts w:ascii="Cambria" w:eastAsia="Times New Roman" w:hAnsi="Cambria"/>
          <w:b/>
          <w:sz w:val="24"/>
          <w:szCs w:val="24"/>
        </w:rPr>
      </w:pPr>
      <w:r w:rsidRPr="00561628">
        <w:rPr>
          <w:rFonts w:ascii="Cambria" w:eastAsia="Times New Roman" w:hAnsi="Cambria"/>
          <w:b/>
          <w:sz w:val="24"/>
          <w:szCs w:val="24"/>
        </w:rPr>
        <w:t>Misura in favore del ceto medio che negli ultimi anni è stato tartassato da nuove tasse e imposte.</w:t>
      </w:r>
    </w:p>
    <w:p w:rsidR="00EF66F9" w:rsidRPr="00561628" w:rsidRDefault="00EF66F9" w:rsidP="00EF66F9">
      <w:pPr>
        <w:spacing w:after="0" w:line="240" w:lineRule="auto"/>
        <w:jc w:val="both"/>
        <w:rPr>
          <w:rFonts w:ascii="Cambria" w:eastAsia="Times New Roman" w:hAnsi="Cambria"/>
          <w:b/>
          <w:sz w:val="24"/>
          <w:szCs w:val="24"/>
        </w:rPr>
      </w:pPr>
    </w:p>
    <w:p w:rsidR="00EF66F9" w:rsidRPr="00561628" w:rsidRDefault="00EF66F9" w:rsidP="00EF66F9">
      <w:pPr>
        <w:spacing w:after="0" w:line="240" w:lineRule="auto"/>
        <w:jc w:val="both"/>
        <w:rPr>
          <w:rFonts w:ascii="Cambria" w:eastAsia="Times New Roman" w:hAnsi="Cambria"/>
          <w:b/>
          <w:sz w:val="24"/>
          <w:szCs w:val="24"/>
        </w:rPr>
      </w:pPr>
      <w:r w:rsidRPr="00561628">
        <w:rPr>
          <w:rFonts w:ascii="Cambria" w:eastAsia="Times New Roman" w:hAnsi="Cambria"/>
          <w:b/>
          <w:sz w:val="24"/>
          <w:szCs w:val="24"/>
        </w:rPr>
        <w:t xml:space="preserve">L’UDC vuole ribadire il proprio sostegno al ceto medio con proposte </w:t>
      </w:r>
      <w:r w:rsidR="00923159" w:rsidRPr="00561628">
        <w:rPr>
          <w:rFonts w:ascii="Cambria" w:eastAsia="Times New Roman" w:hAnsi="Cambria"/>
          <w:b/>
          <w:sz w:val="24"/>
          <w:szCs w:val="24"/>
        </w:rPr>
        <w:t>concrete e attuabili.</w:t>
      </w:r>
    </w:p>
    <w:p w:rsidR="00923159" w:rsidRDefault="00923159" w:rsidP="00EF66F9">
      <w:pPr>
        <w:spacing w:after="0" w:line="240" w:lineRule="auto"/>
        <w:jc w:val="both"/>
        <w:rPr>
          <w:rFonts w:ascii="Cambria" w:eastAsia="Times New Roman" w:hAnsi="Cambria"/>
          <w:sz w:val="24"/>
          <w:szCs w:val="24"/>
        </w:rPr>
      </w:pPr>
      <w:bookmarkStart w:id="0" w:name="_GoBack"/>
      <w:bookmarkEnd w:id="0"/>
    </w:p>
    <w:p w:rsidR="00EF66F9" w:rsidRDefault="00EF66F9" w:rsidP="00EF66F9">
      <w:pPr>
        <w:spacing w:after="0" w:line="240" w:lineRule="auto"/>
        <w:jc w:val="both"/>
        <w:rPr>
          <w:rFonts w:ascii="Cambria" w:eastAsia="Times New Roman" w:hAnsi="Cambria"/>
          <w:sz w:val="24"/>
          <w:szCs w:val="24"/>
        </w:rPr>
      </w:pPr>
    </w:p>
    <w:p w:rsidR="00EF702D" w:rsidRDefault="00EF702D" w:rsidP="00EF66F9">
      <w:pPr>
        <w:spacing w:after="0" w:line="240" w:lineRule="auto"/>
        <w:jc w:val="both"/>
        <w:rPr>
          <w:rFonts w:ascii="Cambria" w:eastAsia="Times New Roman" w:hAnsi="Cambria"/>
          <w:sz w:val="24"/>
          <w:szCs w:val="24"/>
        </w:rPr>
      </w:pPr>
    </w:p>
    <w:p w:rsidR="00EF702D" w:rsidRDefault="00EF702D" w:rsidP="00EF66F9">
      <w:pPr>
        <w:spacing w:after="0" w:line="240" w:lineRule="auto"/>
        <w:jc w:val="both"/>
        <w:rPr>
          <w:rFonts w:ascii="Cambria" w:eastAsia="Times New Roman" w:hAnsi="Cambria"/>
          <w:sz w:val="24"/>
          <w:szCs w:val="24"/>
        </w:rPr>
      </w:pPr>
    </w:p>
    <w:p w:rsidR="00EF702D" w:rsidRDefault="00EF702D" w:rsidP="00EF66F9">
      <w:pPr>
        <w:spacing w:after="0" w:line="240" w:lineRule="auto"/>
        <w:jc w:val="both"/>
        <w:rPr>
          <w:rFonts w:ascii="Cambria" w:eastAsia="Times New Roman" w:hAnsi="Cambria"/>
          <w:sz w:val="24"/>
          <w:szCs w:val="24"/>
        </w:rPr>
      </w:pPr>
    </w:p>
    <w:p w:rsidR="00EF702D" w:rsidRDefault="00EF702D" w:rsidP="00EF66F9">
      <w:pPr>
        <w:spacing w:after="0" w:line="240" w:lineRule="auto"/>
        <w:jc w:val="both"/>
        <w:rPr>
          <w:rFonts w:ascii="Cambria" w:eastAsia="Times New Roman" w:hAnsi="Cambria"/>
          <w:sz w:val="24"/>
          <w:szCs w:val="24"/>
        </w:rPr>
      </w:pPr>
    </w:p>
    <w:p w:rsidR="00EF702D" w:rsidRDefault="00EF702D" w:rsidP="00EF66F9">
      <w:pPr>
        <w:spacing w:after="0" w:line="240" w:lineRule="auto"/>
        <w:jc w:val="both"/>
        <w:rPr>
          <w:rFonts w:ascii="Cambria" w:eastAsia="Times New Roman" w:hAnsi="Cambria"/>
          <w:sz w:val="24"/>
          <w:szCs w:val="24"/>
        </w:rPr>
      </w:pPr>
    </w:p>
    <w:p w:rsidR="00EF702D" w:rsidRDefault="00EF702D" w:rsidP="00EF66F9">
      <w:pPr>
        <w:spacing w:after="0" w:line="240" w:lineRule="auto"/>
        <w:jc w:val="both"/>
        <w:rPr>
          <w:rFonts w:ascii="Cambria" w:eastAsia="Times New Roman" w:hAnsi="Cambria"/>
          <w:sz w:val="24"/>
          <w:szCs w:val="24"/>
        </w:rPr>
      </w:pPr>
    </w:p>
    <w:p w:rsidR="00EF702D" w:rsidRDefault="00EF702D" w:rsidP="00EF66F9">
      <w:pPr>
        <w:spacing w:after="0" w:line="240" w:lineRule="auto"/>
        <w:jc w:val="both"/>
        <w:rPr>
          <w:rFonts w:ascii="Cambria" w:eastAsia="Times New Roman" w:hAnsi="Cambria"/>
          <w:sz w:val="24"/>
          <w:szCs w:val="24"/>
        </w:rPr>
      </w:pPr>
    </w:p>
    <w:p w:rsidR="00EF702D" w:rsidRDefault="00EF702D" w:rsidP="00EF66F9">
      <w:pPr>
        <w:spacing w:after="0" w:line="240" w:lineRule="auto"/>
        <w:jc w:val="both"/>
        <w:rPr>
          <w:rFonts w:ascii="Cambria" w:eastAsia="Times New Roman" w:hAnsi="Cambria"/>
          <w:sz w:val="24"/>
          <w:szCs w:val="24"/>
        </w:rPr>
      </w:pPr>
    </w:p>
    <w:p w:rsidR="00EF66F9" w:rsidRPr="00EF66F9" w:rsidRDefault="00EF66F9" w:rsidP="00EF66F9">
      <w:pPr>
        <w:spacing w:after="0" w:line="240" w:lineRule="auto"/>
        <w:jc w:val="both"/>
        <w:rPr>
          <w:rFonts w:ascii="Cambria" w:eastAsia="Times New Roman" w:hAnsi="Cambria"/>
          <w:sz w:val="24"/>
          <w:szCs w:val="24"/>
        </w:rPr>
      </w:pPr>
      <w:r>
        <w:rPr>
          <w:rFonts w:ascii="Cambria" w:eastAsia="Times New Roman" w:hAnsi="Cambria"/>
          <w:sz w:val="24"/>
          <w:szCs w:val="24"/>
        </w:rPr>
        <w:lastRenderedPageBreak/>
        <w:t>Di seguito i due atti inoltrati:</w:t>
      </w:r>
    </w:p>
    <w:p w:rsidR="00C416E7" w:rsidRDefault="00C416E7" w:rsidP="00C416E7">
      <w:pPr>
        <w:spacing w:after="0" w:line="240" w:lineRule="auto"/>
        <w:jc w:val="both"/>
        <w:rPr>
          <w:rFonts w:ascii="Cambria" w:eastAsia="Times New Roman" w:hAnsi="Cambria"/>
          <w:sz w:val="24"/>
          <w:szCs w:val="24"/>
        </w:rPr>
      </w:pPr>
    </w:p>
    <w:p w:rsidR="0026733A" w:rsidRPr="00EF66F9" w:rsidRDefault="00A81105" w:rsidP="00EF66F9">
      <w:pPr>
        <w:pStyle w:val="Paragrafoelenco"/>
        <w:numPr>
          <w:ilvl w:val="0"/>
          <w:numId w:val="3"/>
        </w:numPr>
        <w:spacing w:beforeLines="100" w:before="240" w:afterLines="100" w:after="240" w:line="240" w:lineRule="auto"/>
        <w:jc w:val="both"/>
        <w:rPr>
          <w:rFonts w:ascii="Cambria" w:eastAsia="Times New Roman" w:hAnsi="Cambria"/>
          <w:b/>
          <w:sz w:val="24"/>
          <w:szCs w:val="24"/>
        </w:rPr>
      </w:pPr>
      <w:r w:rsidRPr="00EF66F9">
        <w:rPr>
          <w:rFonts w:ascii="Cambria" w:eastAsia="Times New Roman" w:hAnsi="Cambria"/>
          <w:b/>
          <w:sz w:val="24"/>
          <w:szCs w:val="24"/>
        </w:rPr>
        <w:t>I</w:t>
      </w:r>
      <w:r w:rsidR="0026733A" w:rsidRPr="00EF66F9">
        <w:rPr>
          <w:rFonts w:ascii="Cambria" w:eastAsia="Times New Roman" w:hAnsi="Cambria"/>
          <w:b/>
          <w:sz w:val="24"/>
          <w:szCs w:val="24"/>
        </w:rPr>
        <w:t>niziativa parlamentare – Marco Chiesa</w:t>
      </w:r>
    </w:p>
    <w:p w:rsidR="0026733A" w:rsidRPr="00EF702D" w:rsidRDefault="0026733A" w:rsidP="0026733A">
      <w:pPr>
        <w:spacing w:beforeLines="100" w:before="240" w:after="0" w:line="240" w:lineRule="auto"/>
        <w:jc w:val="both"/>
        <w:rPr>
          <w:rFonts w:ascii="Cambria" w:eastAsia="Times New Roman" w:hAnsi="Cambria"/>
          <w:b/>
          <w:sz w:val="24"/>
          <w:szCs w:val="24"/>
        </w:rPr>
      </w:pPr>
      <w:r w:rsidRPr="00EF702D">
        <w:rPr>
          <w:rFonts w:ascii="Cambria" w:eastAsia="Times New Roman" w:hAnsi="Cambria"/>
          <w:b/>
          <w:sz w:val="24"/>
          <w:szCs w:val="24"/>
        </w:rPr>
        <w:t>Titolo: Imposta federale diretta: aumentare la deducibilità fiscale dei premi cassa malati adeguandola alla realtà</w:t>
      </w:r>
    </w:p>
    <w:p w:rsidR="0026733A" w:rsidRDefault="0026733A" w:rsidP="009D040A">
      <w:pPr>
        <w:spacing w:beforeLines="100" w:before="240" w:afterLines="100" w:after="240" w:line="240" w:lineRule="auto"/>
        <w:jc w:val="both"/>
        <w:rPr>
          <w:rFonts w:ascii="Cambria" w:eastAsia="Times New Roman" w:hAnsi="Cambria"/>
          <w:sz w:val="24"/>
          <w:szCs w:val="24"/>
        </w:rPr>
      </w:pPr>
      <w:r>
        <w:rPr>
          <w:rFonts w:ascii="Cambria" w:eastAsia="Times New Roman" w:hAnsi="Cambria"/>
          <w:sz w:val="24"/>
          <w:szCs w:val="24"/>
        </w:rPr>
        <w:t xml:space="preserve">Testo: </w:t>
      </w:r>
      <w:r w:rsidRPr="0026733A">
        <w:rPr>
          <w:rFonts w:ascii="Cambria" w:eastAsia="Times New Roman" w:hAnsi="Cambria"/>
          <w:sz w:val="24"/>
          <w:szCs w:val="24"/>
        </w:rPr>
        <w:t>Fondandomi sull'articolo 160 capoverso 1 della Costituzione federale e sull'articolo 107 della legge sul Parlamento, presento la seguente iniziativa: nell'ambito dell'imposta federale diretta l'importo massimo della deduzione dei premi dell'assicurazione malattia obbligatoria sia adeguata alla realtà</w:t>
      </w:r>
    </w:p>
    <w:p w:rsidR="00EF702D" w:rsidRDefault="0026733A" w:rsidP="00EF702D">
      <w:pPr>
        <w:spacing w:beforeLines="100" w:before="240" w:afterLines="100" w:after="240" w:line="240" w:lineRule="auto"/>
        <w:jc w:val="both"/>
        <w:rPr>
          <w:rFonts w:ascii="Cambria" w:eastAsia="Times New Roman" w:hAnsi="Cambria"/>
          <w:sz w:val="24"/>
          <w:szCs w:val="24"/>
        </w:rPr>
      </w:pPr>
      <w:r>
        <w:rPr>
          <w:rFonts w:ascii="Cambria" w:eastAsia="Times New Roman" w:hAnsi="Cambria"/>
          <w:sz w:val="24"/>
          <w:szCs w:val="24"/>
        </w:rPr>
        <w:t xml:space="preserve">Motivazione: </w:t>
      </w:r>
      <w:r w:rsidRPr="0026733A">
        <w:rPr>
          <w:rFonts w:ascii="Cambria" w:eastAsia="Times New Roman" w:hAnsi="Cambria"/>
          <w:sz w:val="24"/>
          <w:szCs w:val="24"/>
        </w:rPr>
        <w:t xml:space="preserve">Secondo un recente studio della Scuola Universitaria Professionale della Svizzera italiana (SUPSI), i premi dell’assicuratore malattia nel Cantone Ticino sono cresciuti dal 2001 al 2016 del 63,7%, passando da 188 a 308 </w:t>
      </w:r>
      <w:proofErr w:type="spellStart"/>
      <w:r w:rsidRPr="0026733A">
        <w:rPr>
          <w:rFonts w:ascii="Cambria" w:eastAsia="Times New Roman" w:hAnsi="Cambria"/>
          <w:sz w:val="24"/>
          <w:szCs w:val="24"/>
        </w:rPr>
        <w:t>fr</w:t>
      </w:r>
      <w:proofErr w:type="spellEnd"/>
      <w:r w:rsidRPr="0026733A">
        <w:rPr>
          <w:rFonts w:ascii="Cambria" w:eastAsia="Times New Roman" w:hAnsi="Cambria"/>
          <w:sz w:val="24"/>
          <w:szCs w:val="24"/>
        </w:rPr>
        <w:t xml:space="preserve">. mensili. In termini annuali, ciò significa che il costo è passato da 2'256 a 3'696 </w:t>
      </w:r>
      <w:proofErr w:type="spellStart"/>
      <w:r w:rsidRPr="0026733A">
        <w:rPr>
          <w:rFonts w:ascii="Cambria" w:eastAsia="Times New Roman" w:hAnsi="Cambria"/>
          <w:sz w:val="24"/>
          <w:szCs w:val="24"/>
        </w:rPr>
        <w:t>fr</w:t>
      </w:r>
      <w:proofErr w:type="spellEnd"/>
      <w:r w:rsidRPr="0026733A">
        <w:rPr>
          <w:rFonts w:ascii="Cambria" w:eastAsia="Times New Roman" w:hAnsi="Cambria"/>
          <w:sz w:val="24"/>
          <w:szCs w:val="24"/>
        </w:rPr>
        <w:t xml:space="preserve"> per persona singola. Anche nel resto della Svizzera l’aumento è stato analogo a quello indicato in Ticino. Per quanto concerne l’imposta federale diretta, la legge prevede una deduzione massima per oneri assicurativi e interessi da capitale a risparmio di 3'500 </w:t>
      </w:r>
      <w:proofErr w:type="spellStart"/>
      <w:r w:rsidRPr="0026733A">
        <w:rPr>
          <w:rFonts w:ascii="Cambria" w:eastAsia="Times New Roman" w:hAnsi="Cambria"/>
          <w:sz w:val="24"/>
          <w:szCs w:val="24"/>
        </w:rPr>
        <w:t>fr</w:t>
      </w:r>
      <w:proofErr w:type="spellEnd"/>
      <w:r w:rsidRPr="0026733A">
        <w:rPr>
          <w:rFonts w:ascii="Cambria" w:eastAsia="Times New Roman" w:hAnsi="Cambria"/>
          <w:sz w:val="24"/>
          <w:szCs w:val="24"/>
        </w:rPr>
        <w:t xml:space="preserve">. per i coniugi e di 1'700 </w:t>
      </w:r>
      <w:proofErr w:type="spellStart"/>
      <w:r w:rsidRPr="0026733A">
        <w:rPr>
          <w:rFonts w:ascii="Cambria" w:eastAsia="Times New Roman" w:hAnsi="Cambria"/>
          <w:sz w:val="24"/>
          <w:szCs w:val="24"/>
        </w:rPr>
        <w:t>fr</w:t>
      </w:r>
      <w:proofErr w:type="spellEnd"/>
      <w:r w:rsidRPr="0026733A">
        <w:rPr>
          <w:rFonts w:ascii="Cambria" w:eastAsia="Times New Roman" w:hAnsi="Cambria"/>
          <w:sz w:val="24"/>
          <w:szCs w:val="24"/>
        </w:rPr>
        <w:t xml:space="preserve">. per gli altri contribuenti. In presenza di un figlio o una persona bisognosa a carico, l’importo massimo deducibile </w:t>
      </w:r>
      <w:proofErr w:type="spellStart"/>
      <w:r w:rsidRPr="0026733A">
        <w:rPr>
          <w:rFonts w:ascii="Cambria" w:eastAsia="Times New Roman" w:hAnsi="Cambria"/>
          <w:sz w:val="24"/>
          <w:szCs w:val="24"/>
        </w:rPr>
        <w:t>é</w:t>
      </w:r>
      <w:proofErr w:type="spellEnd"/>
      <w:r w:rsidRPr="0026733A">
        <w:rPr>
          <w:rFonts w:ascii="Cambria" w:eastAsia="Times New Roman" w:hAnsi="Cambria"/>
          <w:sz w:val="24"/>
          <w:szCs w:val="24"/>
        </w:rPr>
        <w:t xml:space="preserve"> aumentato di 700 </w:t>
      </w:r>
      <w:proofErr w:type="spellStart"/>
      <w:r w:rsidRPr="0026733A">
        <w:rPr>
          <w:rFonts w:ascii="Cambria" w:eastAsia="Times New Roman" w:hAnsi="Cambria"/>
          <w:sz w:val="24"/>
          <w:szCs w:val="24"/>
        </w:rPr>
        <w:t>fr</w:t>
      </w:r>
      <w:proofErr w:type="spellEnd"/>
      <w:r w:rsidRPr="0026733A">
        <w:rPr>
          <w:rFonts w:ascii="Cambria" w:eastAsia="Times New Roman" w:hAnsi="Cambria"/>
          <w:sz w:val="24"/>
          <w:szCs w:val="24"/>
        </w:rPr>
        <w:t xml:space="preserve">. (cfr. art. 33 cpv. 1 </w:t>
      </w:r>
      <w:proofErr w:type="spellStart"/>
      <w:r w:rsidRPr="0026733A">
        <w:rPr>
          <w:rFonts w:ascii="Cambria" w:eastAsia="Times New Roman" w:hAnsi="Cambria"/>
          <w:sz w:val="24"/>
          <w:szCs w:val="24"/>
        </w:rPr>
        <w:t>lett</w:t>
      </w:r>
      <w:proofErr w:type="spellEnd"/>
      <w:r w:rsidRPr="0026733A">
        <w:rPr>
          <w:rFonts w:ascii="Cambria" w:eastAsia="Times New Roman" w:hAnsi="Cambria"/>
          <w:sz w:val="24"/>
          <w:szCs w:val="24"/>
        </w:rPr>
        <w:t xml:space="preserve">. g e cpv. 1bis LIFD). Nel 2001, questi importi erano pari invece a 2'300 </w:t>
      </w:r>
      <w:proofErr w:type="spellStart"/>
      <w:r w:rsidRPr="0026733A">
        <w:rPr>
          <w:rFonts w:ascii="Cambria" w:eastAsia="Times New Roman" w:hAnsi="Cambria"/>
          <w:sz w:val="24"/>
          <w:szCs w:val="24"/>
        </w:rPr>
        <w:t>fr</w:t>
      </w:r>
      <w:proofErr w:type="spellEnd"/>
      <w:r w:rsidRPr="0026733A">
        <w:rPr>
          <w:rFonts w:ascii="Cambria" w:eastAsia="Times New Roman" w:hAnsi="Cambria"/>
          <w:sz w:val="24"/>
          <w:szCs w:val="24"/>
        </w:rPr>
        <w:t xml:space="preserve">. per i coniugi e a 1'200 </w:t>
      </w:r>
      <w:proofErr w:type="spellStart"/>
      <w:r w:rsidRPr="0026733A">
        <w:rPr>
          <w:rFonts w:ascii="Cambria" w:eastAsia="Times New Roman" w:hAnsi="Cambria"/>
          <w:sz w:val="24"/>
          <w:szCs w:val="24"/>
        </w:rPr>
        <w:t>fr</w:t>
      </w:r>
      <w:proofErr w:type="spellEnd"/>
      <w:r w:rsidRPr="0026733A">
        <w:rPr>
          <w:rFonts w:ascii="Cambria" w:eastAsia="Times New Roman" w:hAnsi="Cambria"/>
          <w:sz w:val="24"/>
          <w:szCs w:val="24"/>
        </w:rPr>
        <w:t xml:space="preserve">. per gli altri contribuenti. L’aumento dell’importo massimo della deduzione, stabilito dal legislatore, è stato quindi inferiore all’aumento effettivo dei premi. Se un contribuente spende meno del tetto massimo previsto dalla legge, allora la sua spesa è integralmente deducibile, se invece spende di più, allora la deduzione è pari al tetto massimo. Considerato il peso attuale dei premi di base dell’assicuratore malattia, l’importo attualmente fissato ai fini dell’imposta federale diretta viene raggiunto, e ampiamente superato, in molti casi. Per attenuare dunque il peso dei premi della cassa malati attraverso la fiscalità, si chiede quindi al Consiglio federale di rivedere verso l’alto i tetti massimi deducibili per gli oneri assicurativi. Con la presente iniziativa chiedo pertanto che la deduzione massima per oneri assicurativi e interessi da capitale a risparmio sia di fatto raddoppiata, ovvero portata a 7'000 </w:t>
      </w:r>
      <w:proofErr w:type="spellStart"/>
      <w:r w:rsidRPr="0026733A">
        <w:rPr>
          <w:rFonts w:ascii="Cambria" w:eastAsia="Times New Roman" w:hAnsi="Cambria"/>
          <w:sz w:val="24"/>
          <w:szCs w:val="24"/>
        </w:rPr>
        <w:t>fr</w:t>
      </w:r>
      <w:proofErr w:type="spellEnd"/>
      <w:r w:rsidRPr="0026733A">
        <w:rPr>
          <w:rFonts w:ascii="Cambria" w:eastAsia="Times New Roman" w:hAnsi="Cambria"/>
          <w:sz w:val="24"/>
          <w:szCs w:val="24"/>
        </w:rPr>
        <w:t xml:space="preserve">. per i coniugi e a 3'500 </w:t>
      </w:r>
      <w:proofErr w:type="spellStart"/>
      <w:r w:rsidRPr="0026733A">
        <w:rPr>
          <w:rFonts w:ascii="Cambria" w:eastAsia="Times New Roman" w:hAnsi="Cambria"/>
          <w:sz w:val="24"/>
          <w:szCs w:val="24"/>
        </w:rPr>
        <w:t>fr</w:t>
      </w:r>
      <w:proofErr w:type="spellEnd"/>
      <w:r w:rsidRPr="0026733A">
        <w:rPr>
          <w:rFonts w:ascii="Cambria" w:eastAsia="Times New Roman" w:hAnsi="Cambria"/>
          <w:sz w:val="24"/>
          <w:szCs w:val="24"/>
        </w:rPr>
        <w:t xml:space="preserve"> per le persone sole e a 1'000 </w:t>
      </w:r>
      <w:proofErr w:type="spellStart"/>
      <w:r w:rsidRPr="0026733A">
        <w:rPr>
          <w:rFonts w:ascii="Cambria" w:eastAsia="Times New Roman" w:hAnsi="Cambria"/>
          <w:sz w:val="24"/>
          <w:szCs w:val="24"/>
        </w:rPr>
        <w:t>fr</w:t>
      </w:r>
      <w:proofErr w:type="spellEnd"/>
      <w:r w:rsidRPr="0026733A">
        <w:rPr>
          <w:rFonts w:ascii="Cambria" w:eastAsia="Times New Roman" w:hAnsi="Cambria"/>
          <w:sz w:val="24"/>
          <w:szCs w:val="24"/>
        </w:rPr>
        <w:t>. per ogni figlio o persona bisognosa per cui il contribuente può far valere la deduzione prevista. Per coloro che non versano contributi ai sensi del capoverso 1 lettere d ed e dell'art. 33 LIFD, la deduzione deve pure essere aumentata in misura analoga.</w:t>
      </w:r>
    </w:p>
    <w:p w:rsidR="00EF702D" w:rsidRDefault="00EF702D" w:rsidP="00EF702D">
      <w:pPr>
        <w:spacing w:beforeLines="100" w:before="240" w:afterLines="100" w:after="240" w:line="240" w:lineRule="auto"/>
        <w:jc w:val="both"/>
        <w:rPr>
          <w:rFonts w:ascii="Cambria" w:eastAsia="Times New Roman" w:hAnsi="Cambria"/>
          <w:sz w:val="24"/>
          <w:szCs w:val="24"/>
        </w:rPr>
      </w:pPr>
    </w:p>
    <w:p w:rsidR="00EF702D" w:rsidRDefault="00EF702D" w:rsidP="00EF702D">
      <w:pPr>
        <w:spacing w:beforeLines="100" w:before="240" w:afterLines="100" w:after="240" w:line="240" w:lineRule="auto"/>
        <w:jc w:val="both"/>
        <w:rPr>
          <w:rFonts w:ascii="Cambria" w:eastAsia="Times New Roman" w:hAnsi="Cambria"/>
          <w:sz w:val="24"/>
          <w:szCs w:val="24"/>
        </w:rPr>
      </w:pPr>
    </w:p>
    <w:p w:rsidR="00EF702D" w:rsidRDefault="00EF702D" w:rsidP="00EF702D">
      <w:pPr>
        <w:spacing w:beforeLines="100" w:before="240" w:afterLines="100" w:after="240" w:line="240" w:lineRule="auto"/>
        <w:jc w:val="both"/>
        <w:rPr>
          <w:rFonts w:ascii="Cambria" w:eastAsia="Times New Roman" w:hAnsi="Cambria"/>
          <w:sz w:val="24"/>
          <w:szCs w:val="24"/>
        </w:rPr>
      </w:pPr>
    </w:p>
    <w:p w:rsidR="00EF702D" w:rsidRDefault="00EF702D" w:rsidP="00EF702D">
      <w:pPr>
        <w:spacing w:beforeLines="100" w:before="240" w:afterLines="100" w:after="240" w:line="240" w:lineRule="auto"/>
        <w:jc w:val="both"/>
        <w:rPr>
          <w:rFonts w:ascii="Cambria" w:eastAsia="Times New Roman" w:hAnsi="Cambria"/>
          <w:sz w:val="24"/>
          <w:szCs w:val="24"/>
        </w:rPr>
      </w:pPr>
    </w:p>
    <w:p w:rsidR="00EF702D" w:rsidRDefault="00EF702D" w:rsidP="00EF702D">
      <w:pPr>
        <w:spacing w:beforeLines="100" w:before="240" w:afterLines="100" w:after="240" w:line="240" w:lineRule="auto"/>
        <w:jc w:val="both"/>
        <w:rPr>
          <w:rFonts w:ascii="Cambria" w:eastAsia="Times New Roman" w:hAnsi="Cambria"/>
          <w:sz w:val="24"/>
          <w:szCs w:val="24"/>
        </w:rPr>
      </w:pPr>
    </w:p>
    <w:p w:rsidR="00EF702D" w:rsidRDefault="00EF702D" w:rsidP="00EF702D">
      <w:pPr>
        <w:spacing w:beforeLines="100" w:before="240" w:afterLines="100" w:after="240" w:line="240" w:lineRule="auto"/>
        <w:jc w:val="both"/>
        <w:rPr>
          <w:rFonts w:ascii="Cambria" w:eastAsia="Times New Roman" w:hAnsi="Cambria"/>
          <w:sz w:val="24"/>
          <w:szCs w:val="24"/>
        </w:rPr>
      </w:pPr>
    </w:p>
    <w:p w:rsidR="00A81105" w:rsidRPr="00EF702D" w:rsidRDefault="00A81105" w:rsidP="00EF702D">
      <w:pPr>
        <w:pStyle w:val="Paragrafoelenco"/>
        <w:numPr>
          <w:ilvl w:val="0"/>
          <w:numId w:val="3"/>
        </w:numPr>
        <w:spacing w:beforeLines="100" w:before="240" w:afterLines="100" w:after="240" w:line="240" w:lineRule="auto"/>
        <w:jc w:val="both"/>
        <w:rPr>
          <w:rFonts w:ascii="Cambria" w:eastAsia="Times New Roman" w:hAnsi="Cambria"/>
          <w:b/>
          <w:sz w:val="24"/>
          <w:szCs w:val="24"/>
        </w:rPr>
      </w:pPr>
      <w:r w:rsidRPr="00EF702D">
        <w:rPr>
          <w:rFonts w:ascii="Cambria" w:eastAsia="Times New Roman" w:hAnsi="Cambria"/>
          <w:b/>
          <w:sz w:val="24"/>
          <w:szCs w:val="24"/>
        </w:rPr>
        <w:lastRenderedPageBreak/>
        <w:t>Iniziativa parlamentare generica</w:t>
      </w:r>
      <w:r w:rsidR="00EF702D" w:rsidRPr="00EF702D">
        <w:rPr>
          <w:rFonts w:ascii="Cambria" w:eastAsia="Times New Roman" w:hAnsi="Cambria"/>
          <w:b/>
          <w:sz w:val="24"/>
          <w:szCs w:val="24"/>
        </w:rPr>
        <w:t xml:space="preserve"> – Gabriele </w:t>
      </w:r>
      <w:proofErr w:type="spellStart"/>
      <w:r w:rsidR="00EF702D" w:rsidRPr="00EF702D">
        <w:rPr>
          <w:rFonts w:ascii="Cambria" w:eastAsia="Times New Roman" w:hAnsi="Cambria"/>
          <w:b/>
          <w:sz w:val="24"/>
          <w:szCs w:val="24"/>
        </w:rPr>
        <w:t>Pinoja</w:t>
      </w:r>
      <w:proofErr w:type="spellEnd"/>
    </w:p>
    <w:p w:rsidR="00A81105" w:rsidRPr="00EF702D" w:rsidRDefault="00A81105" w:rsidP="00A81105">
      <w:pPr>
        <w:spacing w:after="0" w:line="240" w:lineRule="auto"/>
        <w:jc w:val="both"/>
        <w:rPr>
          <w:rFonts w:ascii="Cambria" w:hAnsi="Cambria"/>
          <w:b/>
          <w:sz w:val="24"/>
          <w:szCs w:val="24"/>
        </w:rPr>
      </w:pPr>
      <w:r w:rsidRPr="00EF702D">
        <w:rPr>
          <w:rFonts w:ascii="Cambria" w:hAnsi="Cambria"/>
          <w:b/>
          <w:sz w:val="24"/>
          <w:szCs w:val="24"/>
        </w:rPr>
        <w:t>Titolo: La deduzione per oneri assicurativi e interessi di capitali a risparmio sia aumentata del 20%</w:t>
      </w:r>
    </w:p>
    <w:p w:rsidR="00A81105" w:rsidRPr="00A81105" w:rsidRDefault="00A81105" w:rsidP="00A81105">
      <w:pPr>
        <w:spacing w:after="0" w:line="240" w:lineRule="auto"/>
        <w:jc w:val="both"/>
        <w:rPr>
          <w:rFonts w:ascii="Cambria" w:hAnsi="Cambria"/>
          <w:sz w:val="24"/>
          <w:szCs w:val="24"/>
        </w:rPr>
      </w:pPr>
    </w:p>
    <w:p w:rsidR="00A81105" w:rsidRPr="00A81105" w:rsidRDefault="00A81105" w:rsidP="00A81105">
      <w:pPr>
        <w:spacing w:after="0" w:line="240" w:lineRule="auto"/>
        <w:jc w:val="both"/>
        <w:rPr>
          <w:rFonts w:ascii="Cambria" w:hAnsi="Cambria"/>
          <w:sz w:val="24"/>
          <w:szCs w:val="24"/>
        </w:rPr>
      </w:pPr>
      <w:r w:rsidRPr="00A81105">
        <w:rPr>
          <w:rFonts w:ascii="Cambria" w:hAnsi="Cambria"/>
          <w:sz w:val="24"/>
          <w:szCs w:val="24"/>
        </w:rPr>
        <w:t xml:space="preserve">Secondo un recente studio della Scuola Universitaria Professionale della Svizzera italiana (SUPSI), i premi dell’assicuratore malattia nel Cantone Ticino sono cresciuti dal 2001 al 2016 del 63,7%, passando da 188 a 308 </w:t>
      </w:r>
      <w:proofErr w:type="spellStart"/>
      <w:r w:rsidRPr="00A81105">
        <w:rPr>
          <w:rFonts w:ascii="Cambria" w:hAnsi="Cambria"/>
          <w:sz w:val="24"/>
          <w:szCs w:val="24"/>
        </w:rPr>
        <w:t>fr</w:t>
      </w:r>
      <w:proofErr w:type="spellEnd"/>
      <w:r w:rsidRPr="00A81105">
        <w:rPr>
          <w:rFonts w:ascii="Cambria" w:hAnsi="Cambria"/>
          <w:sz w:val="24"/>
          <w:szCs w:val="24"/>
        </w:rPr>
        <w:t xml:space="preserve">. mensili. In termini annuali, ciò significa che il costo è passato da 2'256 a 3'696 </w:t>
      </w:r>
      <w:proofErr w:type="spellStart"/>
      <w:r w:rsidRPr="00A81105">
        <w:rPr>
          <w:rFonts w:ascii="Cambria" w:hAnsi="Cambria"/>
          <w:sz w:val="24"/>
          <w:szCs w:val="24"/>
        </w:rPr>
        <w:t>fr</w:t>
      </w:r>
      <w:proofErr w:type="spellEnd"/>
      <w:r w:rsidRPr="00A81105">
        <w:rPr>
          <w:rFonts w:ascii="Cambria" w:hAnsi="Cambria"/>
          <w:sz w:val="24"/>
          <w:szCs w:val="24"/>
        </w:rPr>
        <w:t xml:space="preserve"> per persona singola.</w:t>
      </w:r>
    </w:p>
    <w:p w:rsidR="00A81105" w:rsidRPr="00A81105" w:rsidRDefault="00A81105" w:rsidP="00A81105">
      <w:pPr>
        <w:spacing w:after="0" w:line="240" w:lineRule="auto"/>
        <w:jc w:val="both"/>
        <w:rPr>
          <w:rFonts w:ascii="Cambria" w:hAnsi="Cambria"/>
          <w:sz w:val="24"/>
          <w:szCs w:val="24"/>
        </w:rPr>
      </w:pPr>
      <w:r w:rsidRPr="00A81105">
        <w:rPr>
          <w:rFonts w:ascii="Cambria" w:hAnsi="Cambria"/>
          <w:sz w:val="24"/>
          <w:szCs w:val="24"/>
        </w:rPr>
        <w:t>La fiscalità ticinese tiene in considerazione questi oneri e permette di dedurli, almeno in parte, nella dichiarazione d’imposta.</w:t>
      </w:r>
    </w:p>
    <w:p w:rsidR="00A81105" w:rsidRPr="00A81105" w:rsidRDefault="00A81105" w:rsidP="00A81105">
      <w:pPr>
        <w:spacing w:after="0" w:line="240" w:lineRule="auto"/>
        <w:jc w:val="both"/>
        <w:rPr>
          <w:rFonts w:ascii="Cambria" w:hAnsi="Cambria"/>
          <w:sz w:val="24"/>
          <w:szCs w:val="24"/>
        </w:rPr>
      </w:pPr>
    </w:p>
    <w:p w:rsidR="00A81105" w:rsidRPr="00A81105" w:rsidRDefault="00A81105" w:rsidP="00A81105">
      <w:pPr>
        <w:spacing w:after="0" w:line="240" w:lineRule="auto"/>
        <w:jc w:val="both"/>
        <w:rPr>
          <w:rFonts w:ascii="Cambria" w:hAnsi="Cambria"/>
          <w:sz w:val="24"/>
          <w:szCs w:val="24"/>
        </w:rPr>
      </w:pPr>
      <w:r w:rsidRPr="00A81105">
        <w:rPr>
          <w:rFonts w:ascii="Cambria" w:hAnsi="Cambria"/>
          <w:noProof/>
          <w:sz w:val="24"/>
          <w:szCs w:val="24"/>
          <w:lang w:eastAsia="it-CH"/>
        </w:rPr>
        <w:drawing>
          <wp:inline distT="0" distB="0" distL="0" distR="0" wp14:anchorId="73723D2B" wp14:editId="00A1998E">
            <wp:extent cx="5810250" cy="3674745"/>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3674745"/>
                    </a:xfrm>
                    <a:prstGeom prst="rect">
                      <a:avLst/>
                    </a:prstGeom>
                    <a:noFill/>
                    <a:ln>
                      <a:noFill/>
                    </a:ln>
                  </pic:spPr>
                </pic:pic>
              </a:graphicData>
            </a:graphic>
          </wp:inline>
        </w:drawing>
      </w:r>
    </w:p>
    <w:p w:rsidR="00A81105" w:rsidRPr="00A81105" w:rsidRDefault="00A81105" w:rsidP="00A81105">
      <w:pPr>
        <w:spacing w:after="0" w:line="240" w:lineRule="auto"/>
        <w:jc w:val="both"/>
        <w:rPr>
          <w:rFonts w:ascii="Cambria" w:hAnsi="Cambria"/>
          <w:sz w:val="24"/>
          <w:szCs w:val="24"/>
        </w:rPr>
      </w:pPr>
    </w:p>
    <w:p w:rsidR="00A81105" w:rsidRPr="00A81105" w:rsidRDefault="00A81105" w:rsidP="00A81105">
      <w:pPr>
        <w:spacing w:after="0" w:line="240" w:lineRule="auto"/>
        <w:jc w:val="both"/>
        <w:rPr>
          <w:rFonts w:ascii="Cambria" w:hAnsi="Cambria"/>
          <w:sz w:val="24"/>
          <w:szCs w:val="24"/>
        </w:rPr>
      </w:pPr>
      <w:r w:rsidRPr="00A81105">
        <w:rPr>
          <w:rFonts w:ascii="Cambria" w:hAnsi="Cambria"/>
          <w:sz w:val="24"/>
          <w:szCs w:val="24"/>
        </w:rPr>
        <w:t xml:space="preserve">Le soglie attualmente in vigore nel nostro Cantone sono figlie del quarto pacchetto fiscale del 2003.  </w:t>
      </w:r>
      <w:r w:rsidRPr="00A81105">
        <w:rPr>
          <w:rFonts w:ascii="Cambria" w:hAnsi="Cambria"/>
          <w:sz w:val="24"/>
          <w:szCs w:val="24"/>
          <w:lang w:val="it-IT" w:eastAsia="it-IT"/>
        </w:rPr>
        <w:t xml:space="preserve">La lettura degli atti legislativi connessi a questi pacchetti fiscali, permette di risalire alla </w:t>
      </w:r>
      <w:r w:rsidRPr="00A81105">
        <w:rPr>
          <w:rFonts w:ascii="Cambria" w:hAnsi="Cambria"/>
          <w:i/>
          <w:sz w:val="24"/>
          <w:szCs w:val="24"/>
          <w:lang w:val="it-IT" w:eastAsia="it-IT"/>
        </w:rPr>
        <w:t xml:space="preserve">ratio </w:t>
      </w:r>
      <w:proofErr w:type="spellStart"/>
      <w:r w:rsidRPr="00A81105">
        <w:rPr>
          <w:rFonts w:ascii="Cambria" w:hAnsi="Cambria"/>
          <w:i/>
          <w:sz w:val="24"/>
          <w:szCs w:val="24"/>
          <w:lang w:val="it-IT" w:eastAsia="it-IT"/>
        </w:rPr>
        <w:t>legis</w:t>
      </w:r>
      <w:proofErr w:type="spellEnd"/>
      <w:r w:rsidRPr="00A81105">
        <w:rPr>
          <w:rFonts w:ascii="Cambria" w:hAnsi="Cambria"/>
          <w:sz w:val="24"/>
          <w:szCs w:val="24"/>
          <w:lang w:val="it-IT" w:eastAsia="it-IT"/>
        </w:rPr>
        <w:t xml:space="preserve"> di tali interventi. </w:t>
      </w:r>
    </w:p>
    <w:p w:rsidR="00A81105" w:rsidRPr="00A81105" w:rsidRDefault="00A81105" w:rsidP="00A81105">
      <w:pPr>
        <w:spacing w:after="0" w:line="240" w:lineRule="auto"/>
        <w:jc w:val="both"/>
        <w:rPr>
          <w:rFonts w:ascii="Cambria" w:hAnsi="Cambria"/>
          <w:sz w:val="24"/>
          <w:szCs w:val="24"/>
          <w:lang w:val="it-IT" w:eastAsia="it-IT"/>
        </w:rPr>
      </w:pPr>
      <w:r w:rsidRPr="00A81105">
        <w:rPr>
          <w:rFonts w:ascii="Cambria" w:hAnsi="Cambria"/>
          <w:sz w:val="24"/>
          <w:szCs w:val="24"/>
          <w:lang w:val="it-IT" w:eastAsia="it-IT"/>
        </w:rPr>
        <w:t>“Per quanto riguarda il III° pacchetto fiscale, l’aumento della deduzione per figli e persone bisognose fu giustificato dall’esigenza di “salvaguardare il reddito disponibile delle economie domestiche e in particolare delle famiglie con prole” e assicurare “un miglior coordinamento della fiscalità e della socialità” adeguando l’importo deducibile al costo effettivo di un figlio a carico secondo i limiti previsti (per quell’anno) dalla legislazione cantonale sugli assegni famigliari, mentre la deduzione per oneri assicurativi fu aumentata al fine di “contribuire ad attenuare gli effetti degli aumenti dei premi di cassa malati prodottisi in Ticino dall’entrata in vigore della Legge federale sull’assicurazione contro le malattie (</w:t>
      </w:r>
      <w:proofErr w:type="spellStart"/>
      <w:r w:rsidRPr="00A81105">
        <w:rPr>
          <w:rFonts w:ascii="Cambria" w:hAnsi="Cambria"/>
          <w:sz w:val="24"/>
          <w:szCs w:val="24"/>
          <w:lang w:val="it-IT" w:eastAsia="it-IT"/>
        </w:rPr>
        <w:t>LAMal</w:t>
      </w:r>
      <w:proofErr w:type="spellEnd"/>
      <w:r w:rsidRPr="00A81105">
        <w:rPr>
          <w:rFonts w:ascii="Cambria" w:hAnsi="Cambria"/>
          <w:sz w:val="24"/>
          <w:szCs w:val="24"/>
          <w:lang w:val="it-IT" w:eastAsia="it-IT"/>
        </w:rPr>
        <w:t>)”.”</w:t>
      </w:r>
    </w:p>
    <w:p w:rsidR="00A81105" w:rsidRPr="00A81105" w:rsidRDefault="00A81105" w:rsidP="00A81105">
      <w:pPr>
        <w:spacing w:before="120" w:after="0" w:line="240" w:lineRule="auto"/>
        <w:jc w:val="both"/>
        <w:rPr>
          <w:rFonts w:ascii="Cambria" w:hAnsi="Cambria"/>
          <w:i/>
          <w:sz w:val="24"/>
          <w:szCs w:val="24"/>
          <w:lang w:val="it-IT"/>
        </w:rPr>
      </w:pPr>
      <w:r w:rsidRPr="00A81105">
        <w:rPr>
          <w:rStyle w:val="Rimandonotaapidipagina"/>
          <w:rFonts w:ascii="Cambria" w:hAnsi="Cambria"/>
          <w:i/>
          <w:sz w:val="24"/>
          <w:szCs w:val="24"/>
          <w:lang w:val="it-IT"/>
        </w:rPr>
        <w:t>F</w:t>
      </w:r>
      <w:r w:rsidRPr="00A81105">
        <w:rPr>
          <w:rFonts w:ascii="Cambria" w:hAnsi="Cambria"/>
          <w:i/>
          <w:sz w:val="24"/>
          <w:szCs w:val="24"/>
          <w:lang w:val="it-IT"/>
        </w:rPr>
        <w:t>onte: Consiglio di Stato del Canton Ticino, Messaggio del 27 giugno 2000 concernente il progetto di modifica della Legge tributaria e del decreto legislativo concernente la concessione di ammortamenti accelerati per nuovi investimenti, n. 5016, p. 19.</w:t>
      </w:r>
    </w:p>
    <w:p w:rsidR="00A81105" w:rsidRPr="00A81105" w:rsidRDefault="00A81105" w:rsidP="00A81105">
      <w:pPr>
        <w:spacing w:after="0" w:line="240" w:lineRule="auto"/>
        <w:jc w:val="both"/>
        <w:rPr>
          <w:rFonts w:ascii="Cambria" w:hAnsi="Cambria"/>
          <w:sz w:val="24"/>
          <w:szCs w:val="24"/>
          <w:lang w:val="it-IT"/>
        </w:rPr>
      </w:pPr>
    </w:p>
    <w:p w:rsidR="00A81105" w:rsidRPr="00A81105" w:rsidRDefault="00A81105" w:rsidP="00A81105">
      <w:pPr>
        <w:spacing w:after="0" w:line="240" w:lineRule="auto"/>
        <w:jc w:val="both"/>
        <w:rPr>
          <w:rFonts w:ascii="Cambria" w:hAnsi="Cambria"/>
          <w:sz w:val="24"/>
          <w:szCs w:val="24"/>
          <w:lang w:val="it-IT"/>
        </w:rPr>
      </w:pPr>
      <w:r w:rsidRPr="00A81105">
        <w:rPr>
          <w:rFonts w:ascii="Cambria" w:hAnsi="Cambria"/>
          <w:sz w:val="24"/>
          <w:szCs w:val="24"/>
          <w:lang w:val="it-IT"/>
        </w:rPr>
        <w:t>E ancora</w:t>
      </w:r>
    </w:p>
    <w:p w:rsidR="00A81105" w:rsidRPr="00A81105" w:rsidRDefault="00A81105" w:rsidP="00A81105">
      <w:pPr>
        <w:spacing w:after="0" w:line="240" w:lineRule="auto"/>
        <w:jc w:val="both"/>
        <w:rPr>
          <w:rFonts w:ascii="Cambria" w:hAnsi="Cambria"/>
          <w:sz w:val="24"/>
          <w:szCs w:val="24"/>
          <w:lang w:val="it-IT" w:eastAsia="it-IT"/>
        </w:rPr>
      </w:pPr>
    </w:p>
    <w:p w:rsidR="00A81105" w:rsidRPr="00A81105" w:rsidRDefault="00A81105" w:rsidP="00A81105">
      <w:pPr>
        <w:spacing w:after="0" w:line="240" w:lineRule="auto"/>
        <w:jc w:val="both"/>
        <w:rPr>
          <w:rFonts w:ascii="Cambria" w:hAnsi="Cambria"/>
          <w:sz w:val="24"/>
          <w:szCs w:val="24"/>
          <w:lang w:val="it-IT" w:eastAsia="it-IT"/>
        </w:rPr>
      </w:pPr>
      <w:r w:rsidRPr="00A81105">
        <w:rPr>
          <w:rFonts w:ascii="Cambria" w:hAnsi="Cambria"/>
          <w:sz w:val="24"/>
          <w:szCs w:val="24"/>
          <w:lang w:val="it-IT" w:eastAsia="it-IT"/>
        </w:rPr>
        <w:t>“Con riferimento al IV° pacchetto fiscale, la deduzione aggiuntiva – di 4'000 franchi per i coniugi e 2'000 franchi per le persone sole - per oneri assicurativi e interessi di capitali a risparmio a beneficio dei contribuenti che non versano più contributi previdenziali fu introdotta per compensare i pensionati dall’aggravio fiscale introdotto nella LT nel 2001 a seguito dell’obbligo – imposto dalla LAID – di imporre integralmente le rendite pensionistiche (prima tassate nella misura del 90%). Per quanto riguarda la deduzione per figli a carico e agli studi, l’aumento dell’importo deducibile fu invece motivato dalla volontà di sostenere le famiglie del ceto medio il cui livello dei redditi non consentiva di beneficiare di borse o prestiti di studio, mentre con l’aumento della deduzione per doppio reddito a 7'000 franchi si voleva allineare la deduzione cantonale all’importo (allora) deducibile ai fini federali.”</w:t>
      </w:r>
    </w:p>
    <w:p w:rsidR="00A81105" w:rsidRPr="00A81105" w:rsidRDefault="00A81105" w:rsidP="00A81105">
      <w:pPr>
        <w:spacing w:before="120" w:after="0" w:line="240" w:lineRule="auto"/>
        <w:jc w:val="both"/>
        <w:rPr>
          <w:rFonts w:ascii="Cambria" w:hAnsi="Cambria"/>
          <w:sz w:val="24"/>
          <w:szCs w:val="24"/>
        </w:rPr>
      </w:pPr>
      <w:r w:rsidRPr="00A81105">
        <w:rPr>
          <w:rFonts w:ascii="Cambria" w:hAnsi="Cambria"/>
          <w:i/>
          <w:sz w:val="24"/>
          <w:szCs w:val="24"/>
        </w:rPr>
        <w:t xml:space="preserve">Fonte: </w:t>
      </w:r>
      <w:r w:rsidRPr="00A81105">
        <w:rPr>
          <w:rFonts w:ascii="Cambria" w:hAnsi="Cambria"/>
          <w:i/>
          <w:sz w:val="24"/>
          <w:szCs w:val="24"/>
          <w:lang w:val="it-IT"/>
        </w:rPr>
        <w:t xml:space="preserve">Da notare che gli importi deducibili contenuti nel disegno di legge del Messaggio n. 5138 del 6 luglio 2001 (IV° pacchetto fiscale) furono corretti al rialzo dalla maggioranza della Commissione tributaria. Gli importi riportati nella Tabella </w:t>
      </w:r>
      <w:r w:rsidRPr="00A81105">
        <w:rPr>
          <w:rFonts w:ascii="Cambria" w:hAnsi="Cambria"/>
          <w:i/>
          <w:noProof/>
          <w:sz w:val="24"/>
          <w:szCs w:val="24"/>
          <w:lang w:val="it-IT"/>
        </w:rPr>
        <w:t>1</w:t>
      </w:r>
      <w:r w:rsidRPr="00A81105">
        <w:rPr>
          <w:rFonts w:ascii="Cambria" w:hAnsi="Cambria"/>
          <w:i/>
          <w:sz w:val="24"/>
          <w:szCs w:val="24"/>
          <w:lang w:val="it-IT"/>
        </w:rPr>
        <w:t xml:space="preserve"> si riferiscono a quelli contenuti nel Rapporto di maggioranza approvato dal Gran Consiglio il 4 giugno 2002. Cfr. Commissione speciale tributaria, Rapporto di maggioranza del 21 maggio 2002 sul messaggio 6 luglio 2001 concernente il progetto di modifica della Legge tributaria e della Legge sull’imposta di bollo e sugli spettacoli cinematografici per l’introduzione di nuovi sgravi fiscali finalizzati al sostegno dei redditi e al rilancio competitivo dell’economia e per il passaggio al sistema di tassazione annuale </w:t>
      </w:r>
      <w:proofErr w:type="spellStart"/>
      <w:r w:rsidRPr="00A81105">
        <w:rPr>
          <w:rFonts w:ascii="Cambria" w:hAnsi="Cambria"/>
          <w:i/>
          <w:sz w:val="24"/>
          <w:szCs w:val="24"/>
          <w:lang w:val="it-IT"/>
        </w:rPr>
        <w:t>postnumerando</w:t>
      </w:r>
      <w:proofErr w:type="spellEnd"/>
      <w:r w:rsidRPr="00A81105">
        <w:rPr>
          <w:rFonts w:ascii="Cambria" w:hAnsi="Cambria"/>
          <w:i/>
          <w:sz w:val="24"/>
          <w:szCs w:val="24"/>
          <w:lang w:val="it-IT"/>
        </w:rPr>
        <w:t xml:space="preserve"> delle persone fisiche, 2002.</w:t>
      </w:r>
    </w:p>
    <w:p w:rsidR="00A81105" w:rsidRPr="00A81105" w:rsidRDefault="00A81105" w:rsidP="00A81105">
      <w:pPr>
        <w:spacing w:after="0" w:line="240" w:lineRule="auto"/>
        <w:jc w:val="both"/>
        <w:rPr>
          <w:rFonts w:ascii="Cambria" w:hAnsi="Cambria"/>
          <w:sz w:val="24"/>
          <w:szCs w:val="24"/>
          <w:lang w:val="it-IT" w:eastAsia="it-IT"/>
        </w:rPr>
      </w:pPr>
      <w:r w:rsidRPr="00A81105">
        <w:rPr>
          <w:rFonts w:ascii="Cambria" w:hAnsi="Cambria"/>
          <w:sz w:val="24"/>
          <w:szCs w:val="24"/>
          <w:lang w:val="it-IT" w:eastAsia="it-IT"/>
        </w:rPr>
        <w:t> </w:t>
      </w:r>
      <w:bookmarkStart w:id="1" w:name="_Ref474771645"/>
    </w:p>
    <w:p w:rsidR="00A81105" w:rsidRPr="00A81105" w:rsidRDefault="00A81105" w:rsidP="00A81105">
      <w:pPr>
        <w:spacing w:after="0" w:line="240" w:lineRule="auto"/>
        <w:jc w:val="both"/>
        <w:rPr>
          <w:rFonts w:ascii="Cambria" w:hAnsi="Cambria"/>
          <w:sz w:val="24"/>
          <w:szCs w:val="24"/>
          <w:lang w:val="it-IT" w:eastAsia="it-IT"/>
        </w:rPr>
      </w:pPr>
    </w:p>
    <w:p w:rsidR="00A81105" w:rsidRPr="000F7961" w:rsidRDefault="00A81105" w:rsidP="00A81105">
      <w:pPr>
        <w:spacing w:after="0" w:line="240" w:lineRule="auto"/>
        <w:jc w:val="both"/>
        <w:rPr>
          <w:rFonts w:ascii="Cambria" w:hAnsi="Cambria"/>
          <w:i/>
          <w:sz w:val="24"/>
          <w:szCs w:val="24"/>
        </w:rPr>
      </w:pPr>
      <w:r w:rsidRPr="000F7961">
        <w:rPr>
          <w:rFonts w:ascii="Cambria" w:hAnsi="Cambria"/>
          <w:bCs/>
          <w:i/>
          <w:sz w:val="24"/>
          <w:szCs w:val="24"/>
          <w:lang w:val="it-IT" w:bidi="ml-IN"/>
        </w:rPr>
        <w:t xml:space="preserve">Tabella </w:t>
      </w:r>
      <w:bookmarkEnd w:id="1"/>
      <w:r w:rsidRPr="000F7961">
        <w:rPr>
          <w:rFonts w:ascii="Cambria" w:hAnsi="Cambria"/>
          <w:bCs/>
          <w:i/>
          <w:noProof/>
          <w:sz w:val="24"/>
          <w:szCs w:val="24"/>
          <w:lang w:val="it-IT" w:bidi="ml-IN"/>
        </w:rPr>
        <w:t>1</w:t>
      </w:r>
      <w:r w:rsidRPr="000F7961">
        <w:rPr>
          <w:rFonts w:ascii="Cambria" w:hAnsi="Cambria" w:cs="Kartika"/>
          <w:bCs/>
          <w:i/>
          <w:sz w:val="24"/>
          <w:szCs w:val="24"/>
          <w:lang w:val="it-IT" w:eastAsia="it-IT" w:bidi="ml-IN"/>
        </w:rPr>
        <w:t>: Evoluzione delle principali deduzioni fiscali tra il 2000 e il 2003</w:t>
      </w:r>
    </w:p>
    <w:tbl>
      <w:tblPr>
        <w:tblW w:w="8724" w:type="dxa"/>
        <w:tblInd w:w="55" w:type="dxa"/>
        <w:tblCellMar>
          <w:left w:w="70" w:type="dxa"/>
          <w:right w:w="70" w:type="dxa"/>
        </w:tblCellMar>
        <w:tblLook w:val="04A0" w:firstRow="1" w:lastRow="0" w:firstColumn="1" w:lastColumn="0" w:noHBand="0" w:noVBand="1"/>
      </w:tblPr>
      <w:tblGrid>
        <w:gridCol w:w="2129"/>
        <w:gridCol w:w="1435"/>
        <w:gridCol w:w="1692"/>
        <w:gridCol w:w="1692"/>
        <w:gridCol w:w="1379"/>
        <w:gridCol w:w="901"/>
      </w:tblGrid>
      <w:tr w:rsidR="00A81105" w:rsidRPr="00A81105" w:rsidTr="00EA0C4D">
        <w:trPr>
          <w:trHeight w:val="300"/>
        </w:trPr>
        <w:tc>
          <w:tcPr>
            <w:tcW w:w="2129" w:type="dxa"/>
            <w:noWrap/>
            <w:vAlign w:val="bottom"/>
            <w:hideMark/>
          </w:tcPr>
          <w:p w:rsidR="00A81105" w:rsidRPr="00A81105" w:rsidRDefault="00A81105" w:rsidP="00EA0C4D">
            <w:pPr>
              <w:spacing w:after="0" w:line="240" w:lineRule="auto"/>
              <w:jc w:val="both"/>
              <w:rPr>
                <w:rFonts w:ascii="Cambria" w:hAnsi="Cambria"/>
                <w:sz w:val="24"/>
                <w:szCs w:val="24"/>
              </w:rPr>
            </w:pPr>
          </w:p>
        </w:tc>
        <w:tc>
          <w:tcPr>
            <w:tcW w:w="1269" w:type="dxa"/>
            <w:tcBorders>
              <w:top w:val="single" w:sz="8" w:space="0" w:color="auto"/>
              <w:left w:val="single" w:sz="8" w:space="0" w:color="auto"/>
              <w:bottom w:val="single" w:sz="4" w:space="0" w:color="auto"/>
              <w:right w:val="nil"/>
            </w:tcBorders>
            <w:noWrap/>
            <w:vAlign w:val="center"/>
            <w:hideMark/>
          </w:tcPr>
          <w:p w:rsidR="00A81105" w:rsidRPr="00A81105" w:rsidRDefault="00A81105" w:rsidP="00EA0C4D">
            <w:pPr>
              <w:spacing w:after="0" w:line="240" w:lineRule="auto"/>
              <w:jc w:val="center"/>
              <w:rPr>
                <w:rFonts w:ascii="Cambria" w:hAnsi="Cambria"/>
                <w:color w:val="000000"/>
                <w:sz w:val="24"/>
                <w:szCs w:val="24"/>
              </w:rPr>
            </w:pPr>
            <w:r w:rsidRPr="00A81105">
              <w:rPr>
                <w:rFonts w:ascii="Cambria" w:hAnsi="Cambria"/>
                <w:b/>
                <w:bCs/>
                <w:sz w:val="24"/>
                <w:szCs w:val="24"/>
              </w:rPr>
              <w:t>2000</w:t>
            </w:r>
          </w:p>
        </w:tc>
        <w:tc>
          <w:tcPr>
            <w:tcW w:w="1692" w:type="dxa"/>
            <w:tcBorders>
              <w:top w:val="single" w:sz="8" w:space="0" w:color="auto"/>
              <w:left w:val="single" w:sz="8" w:space="0" w:color="auto"/>
              <w:bottom w:val="single" w:sz="4" w:space="0" w:color="auto"/>
              <w:right w:val="single" w:sz="8" w:space="0" w:color="auto"/>
            </w:tcBorders>
            <w:noWrap/>
            <w:vAlign w:val="center"/>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b/>
                <w:bCs/>
                <w:sz w:val="24"/>
                <w:szCs w:val="24"/>
              </w:rPr>
              <w:t>2001</w:t>
            </w:r>
          </w:p>
        </w:tc>
        <w:tc>
          <w:tcPr>
            <w:tcW w:w="1692" w:type="dxa"/>
            <w:tcBorders>
              <w:top w:val="single" w:sz="8" w:space="0" w:color="auto"/>
              <w:left w:val="nil"/>
              <w:bottom w:val="single" w:sz="4" w:space="0" w:color="auto"/>
              <w:right w:val="nil"/>
            </w:tcBorders>
            <w:noWrap/>
            <w:vAlign w:val="center"/>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b/>
                <w:bCs/>
                <w:sz w:val="24"/>
                <w:szCs w:val="24"/>
              </w:rPr>
              <w:t>2003</w:t>
            </w:r>
          </w:p>
        </w:tc>
        <w:tc>
          <w:tcPr>
            <w:tcW w:w="1942" w:type="dxa"/>
            <w:gridSpan w:val="2"/>
            <w:tcBorders>
              <w:top w:val="single" w:sz="8" w:space="0" w:color="auto"/>
              <w:left w:val="single" w:sz="8" w:space="0" w:color="auto"/>
              <w:bottom w:val="single" w:sz="4" w:space="0" w:color="auto"/>
              <w:right w:val="single" w:sz="8" w:space="0" w:color="000000"/>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b/>
                <w:bCs/>
                <w:i/>
                <w:iCs/>
                <w:sz w:val="24"/>
                <w:szCs w:val="24"/>
              </w:rPr>
              <w:t>Differenza</w:t>
            </w:r>
          </w:p>
          <w:p w:rsidR="00A81105" w:rsidRPr="00A81105" w:rsidRDefault="00A81105" w:rsidP="00EA0C4D">
            <w:pPr>
              <w:spacing w:after="0" w:line="240" w:lineRule="auto"/>
              <w:jc w:val="center"/>
              <w:rPr>
                <w:rFonts w:ascii="Cambria" w:hAnsi="Cambria"/>
                <w:sz w:val="24"/>
                <w:szCs w:val="24"/>
              </w:rPr>
            </w:pPr>
            <w:r w:rsidRPr="00A81105">
              <w:rPr>
                <w:rFonts w:ascii="Cambria" w:hAnsi="Cambria"/>
                <w:b/>
                <w:bCs/>
                <w:i/>
                <w:iCs/>
                <w:sz w:val="24"/>
                <w:szCs w:val="24"/>
              </w:rPr>
              <w:t>2000 - 2003</w:t>
            </w:r>
          </w:p>
        </w:tc>
      </w:tr>
      <w:tr w:rsidR="00A81105" w:rsidRPr="00A81105" w:rsidTr="00EA0C4D">
        <w:trPr>
          <w:trHeight w:val="315"/>
        </w:trPr>
        <w:tc>
          <w:tcPr>
            <w:tcW w:w="2129" w:type="dxa"/>
            <w:noWrap/>
            <w:vAlign w:val="bottom"/>
            <w:hideMark/>
          </w:tcPr>
          <w:p w:rsidR="00A81105" w:rsidRPr="00A81105" w:rsidRDefault="00A81105" w:rsidP="00EA0C4D">
            <w:pPr>
              <w:spacing w:after="0" w:line="240" w:lineRule="auto"/>
              <w:jc w:val="both"/>
              <w:rPr>
                <w:rFonts w:ascii="Cambria" w:hAnsi="Cambria"/>
                <w:sz w:val="24"/>
                <w:szCs w:val="24"/>
              </w:rPr>
            </w:pPr>
          </w:p>
        </w:tc>
        <w:tc>
          <w:tcPr>
            <w:tcW w:w="1269" w:type="dxa"/>
            <w:tcBorders>
              <w:top w:val="single" w:sz="4" w:space="0" w:color="auto"/>
              <w:left w:val="single" w:sz="8" w:space="0" w:color="auto"/>
              <w:bottom w:val="single" w:sz="8" w:space="0" w:color="auto"/>
              <w:right w:val="nil"/>
            </w:tcBorders>
            <w:noWrap/>
            <w:vAlign w:val="center"/>
            <w:hideMark/>
          </w:tcPr>
          <w:p w:rsidR="00A81105" w:rsidRPr="00A81105" w:rsidRDefault="00A81105" w:rsidP="00EA0C4D">
            <w:pPr>
              <w:spacing w:after="0" w:line="240" w:lineRule="auto"/>
              <w:jc w:val="center"/>
              <w:rPr>
                <w:rFonts w:ascii="Cambria" w:hAnsi="Cambria"/>
                <w:color w:val="000000"/>
                <w:sz w:val="24"/>
                <w:szCs w:val="24"/>
              </w:rPr>
            </w:pPr>
            <w:r w:rsidRPr="00A81105">
              <w:rPr>
                <w:rFonts w:ascii="Cambria" w:hAnsi="Cambria"/>
                <w:b/>
                <w:bCs/>
                <w:sz w:val="24"/>
                <w:szCs w:val="24"/>
              </w:rPr>
              <w:t>LT 1995</w:t>
            </w:r>
          </w:p>
        </w:tc>
        <w:tc>
          <w:tcPr>
            <w:tcW w:w="1692" w:type="dxa"/>
            <w:tcBorders>
              <w:top w:val="single" w:sz="4" w:space="0" w:color="auto"/>
              <w:left w:val="single" w:sz="8" w:space="0" w:color="auto"/>
              <w:bottom w:val="single" w:sz="8" w:space="0" w:color="auto"/>
              <w:right w:val="single" w:sz="8" w:space="0" w:color="auto"/>
            </w:tcBorders>
            <w:noWrap/>
            <w:vAlign w:val="center"/>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b/>
                <w:bCs/>
                <w:sz w:val="24"/>
                <w:szCs w:val="24"/>
              </w:rPr>
              <w:t>III°</w:t>
            </w:r>
          </w:p>
          <w:p w:rsidR="00A81105" w:rsidRPr="00A81105" w:rsidRDefault="00A81105" w:rsidP="00EA0C4D">
            <w:pPr>
              <w:spacing w:after="0" w:line="240" w:lineRule="auto"/>
              <w:jc w:val="center"/>
              <w:rPr>
                <w:rFonts w:ascii="Cambria" w:hAnsi="Cambria"/>
                <w:sz w:val="24"/>
                <w:szCs w:val="24"/>
              </w:rPr>
            </w:pPr>
            <w:r w:rsidRPr="00A81105">
              <w:rPr>
                <w:rFonts w:ascii="Cambria" w:hAnsi="Cambria"/>
                <w:b/>
                <w:bCs/>
                <w:sz w:val="24"/>
                <w:szCs w:val="24"/>
              </w:rPr>
              <w:t>pacchetto fiscale</w:t>
            </w:r>
          </w:p>
        </w:tc>
        <w:tc>
          <w:tcPr>
            <w:tcW w:w="1692" w:type="dxa"/>
            <w:tcBorders>
              <w:top w:val="single" w:sz="4" w:space="0" w:color="auto"/>
              <w:left w:val="nil"/>
              <w:bottom w:val="single" w:sz="8" w:space="0" w:color="auto"/>
              <w:right w:val="nil"/>
            </w:tcBorders>
            <w:noWrap/>
            <w:vAlign w:val="center"/>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b/>
                <w:bCs/>
                <w:sz w:val="24"/>
                <w:szCs w:val="24"/>
              </w:rPr>
              <w:t>IV°</w:t>
            </w:r>
          </w:p>
          <w:p w:rsidR="00A81105" w:rsidRPr="00A81105" w:rsidRDefault="00A81105" w:rsidP="00EA0C4D">
            <w:pPr>
              <w:spacing w:after="0" w:line="240" w:lineRule="auto"/>
              <w:jc w:val="center"/>
              <w:rPr>
                <w:rFonts w:ascii="Cambria" w:hAnsi="Cambria"/>
                <w:sz w:val="24"/>
                <w:szCs w:val="24"/>
              </w:rPr>
            </w:pPr>
            <w:r w:rsidRPr="00A81105">
              <w:rPr>
                <w:rFonts w:ascii="Cambria" w:hAnsi="Cambria"/>
                <w:b/>
                <w:bCs/>
                <w:sz w:val="24"/>
                <w:szCs w:val="24"/>
              </w:rPr>
              <w:t>pacchetto fiscale</w:t>
            </w:r>
          </w:p>
        </w:tc>
        <w:tc>
          <w:tcPr>
            <w:tcW w:w="1171" w:type="dxa"/>
            <w:tcBorders>
              <w:top w:val="nil"/>
              <w:left w:val="single" w:sz="8" w:space="0" w:color="auto"/>
              <w:bottom w:val="nil"/>
              <w:right w:val="single" w:sz="4" w:space="0" w:color="auto"/>
            </w:tcBorders>
            <w:noWrap/>
            <w:vAlign w:val="center"/>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b/>
                <w:bCs/>
                <w:i/>
                <w:iCs/>
                <w:sz w:val="24"/>
                <w:szCs w:val="24"/>
              </w:rPr>
              <w:t>CHF</w:t>
            </w:r>
          </w:p>
        </w:tc>
        <w:tc>
          <w:tcPr>
            <w:tcW w:w="771" w:type="dxa"/>
            <w:tcBorders>
              <w:top w:val="nil"/>
              <w:left w:val="nil"/>
              <w:bottom w:val="nil"/>
              <w:right w:val="single" w:sz="8" w:space="0" w:color="auto"/>
            </w:tcBorders>
            <w:noWrap/>
            <w:vAlign w:val="center"/>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b/>
                <w:bCs/>
                <w:i/>
                <w:iCs/>
                <w:sz w:val="24"/>
                <w:szCs w:val="24"/>
              </w:rPr>
              <w:t>in %</w:t>
            </w:r>
          </w:p>
        </w:tc>
      </w:tr>
      <w:tr w:rsidR="00A81105" w:rsidRPr="00A81105" w:rsidTr="00EA0C4D">
        <w:trPr>
          <w:trHeight w:val="300"/>
        </w:trPr>
        <w:tc>
          <w:tcPr>
            <w:tcW w:w="2129" w:type="dxa"/>
            <w:tcBorders>
              <w:top w:val="single" w:sz="8" w:space="0" w:color="auto"/>
              <w:left w:val="single" w:sz="8" w:space="0" w:color="auto"/>
              <w:bottom w:val="nil"/>
              <w:right w:val="nil"/>
            </w:tcBorders>
            <w:noWrap/>
            <w:vAlign w:val="center"/>
            <w:hideMark/>
          </w:tcPr>
          <w:p w:rsidR="00A81105" w:rsidRPr="00A81105" w:rsidRDefault="00A81105" w:rsidP="00EA0C4D">
            <w:pPr>
              <w:spacing w:after="0" w:line="240" w:lineRule="auto"/>
              <w:jc w:val="both"/>
              <w:rPr>
                <w:rFonts w:ascii="Cambria" w:hAnsi="Cambria"/>
                <w:sz w:val="24"/>
                <w:szCs w:val="24"/>
              </w:rPr>
            </w:pPr>
            <w:r w:rsidRPr="00A81105">
              <w:rPr>
                <w:rFonts w:ascii="Cambria" w:hAnsi="Cambria"/>
                <w:bCs/>
                <w:sz w:val="24"/>
                <w:szCs w:val="24"/>
              </w:rPr>
              <w:t>Oneri assicurativi</w:t>
            </w:r>
          </w:p>
        </w:tc>
        <w:tc>
          <w:tcPr>
            <w:tcW w:w="1269" w:type="dxa"/>
            <w:tcBorders>
              <w:top w:val="single" w:sz="8" w:space="0" w:color="auto"/>
              <w:left w:val="single" w:sz="8" w:space="0" w:color="auto"/>
              <w:bottom w:val="nil"/>
              <w:right w:val="nil"/>
            </w:tcBorders>
            <w:noWrap/>
            <w:vAlign w:val="bottom"/>
            <w:hideMark/>
          </w:tcPr>
          <w:p w:rsidR="00A81105" w:rsidRPr="00A81105" w:rsidRDefault="00A81105" w:rsidP="00EA0C4D">
            <w:pPr>
              <w:spacing w:after="0" w:line="240" w:lineRule="auto"/>
              <w:jc w:val="center"/>
              <w:rPr>
                <w:rFonts w:ascii="Cambria" w:hAnsi="Cambria"/>
                <w:sz w:val="24"/>
                <w:szCs w:val="24"/>
              </w:rPr>
            </w:pPr>
          </w:p>
        </w:tc>
        <w:tc>
          <w:tcPr>
            <w:tcW w:w="1692" w:type="dxa"/>
            <w:tcBorders>
              <w:top w:val="single" w:sz="8" w:space="0" w:color="auto"/>
              <w:left w:val="single" w:sz="8" w:space="0" w:color="auto"/>
              <w:bottom w:val="nil"/>
              <w:right w:val="single" w:sz="8"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p>
        </w:tc>
        <w:tc>
          <w:tcPr>
            <w:tcW w:w="1692" w:type="dxa"/>
            <w:tcBorders>
              <w:top w:val="single" w:sz="8" w:space="0" w:color="auto"/>
              <w:left w:val="nil"/>
              <w:bottom w:val="nil"/>
              <w:right w:val="nil"/>
            </w:tcBorders>
            <w:noWrap/>
            <w:vAlign w:val="bottom"/>
            <w:hideMark/>
          </w:tcPr>
          <w:p w:rsidR="00A81105" w:rsidRPr="00A81105" w:rsidRDefault="00A81105" w:rsidP="00EA0C4D">
            <w:pPr>
              <w:spacing w:after="0" w:line="240" w:lineRule="auto"/>
              <w:jc w:val="center"/>
              <w:rPr>
                <w:rFonts w:ascii="Cambria" w:hAnsi="Cambria"/>
                <w:sz w:val="24"/>
                <w:szCs w:val="24"/>
              </w:rPr>
            </w:pPr>
          </w:p>
        </w:tc>
        <w:tc>
          <w:tcPr>
            <w:tcW w:w="1171" w:type="dxa"/>
            <w:tcBorders>
              <w:top w:val="single" w:sz="8" w:space="0" w:color="auto"/>
              <w:left w:val="single" w:sz="8" w:space="0" w:color="auto"/>
              <w:bottom w:val="nil"/>
              <w:right w:val="single" w:sz="4"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p>
        </w:tc>
        <w:tc>
          <w:tcPr>
            <w:tcW w:w="771" w:type="dxa"/>
            <w:tcBorders>
              <w:top w:val="single" w:sz="8" w:space="0" w:color="auto"/>
              <w:left w:val="nil"/>
              <w:bottom w:val="nil"/>
              <w:right w:val="single" w:sz="8"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p>
        </w:tc>
      </w:tr>
      <w:tr w:rsidR="00A81105" w:rsidRPr="00A81105" w:rsidTr="00EA0C4D">
        <w:trPr>
          <w:trHeight w:val="300"/>
        </w:trPr>
        <w:tc>
          <w:tcPr>
            <w:tcW w:w="2129" w:type="dxa"/>
            <w:tcBorders>
              <w:top w:val="nil"/>
              <w:left w:val="single" w:sz="8" w:space="0" w:color="auto"/>
              <w:bottom w:val="nil"/>
              <w:right w:val="nil"/>
            </w:tcBorders>
            <w:noWrap/>
            <w:vAlign w:val="center"/>
            <w:hideMark/>
          </w:tcPr>
          <w:p w:rsidR="00A81105" w:rsidRPr="00A81105" w:rsidRDefault="00A81105" w:rsidP="00EA0C4D">
            <w:pPr>
              <w:spacing w:after="0" w:line="240" w:lineRule="auto"/>
              <w:jc w:val="both"/>
              <w:rPr>
                <w:rFonts w:ascii="Cambria" w:hAnsi="Cambria"/>
                <w:sz w:val="24"/>
                <w:szCs w:val="24"/>
              </w:rPr>
            </w:pPr>
            <w:r w:rsidRPr="00A81105">
              <w:rPr>
                <w:rFonts w:ascii="Cambria" w:hAnsi="Cambria"/>
                <w:bCs/>
                <w:sz w:val="24"/>
                <w:szCs w:val="24"/>
              </w:rPr>
              <w:t xml:space="preserve">Con </w:t>
            </w:r>
            <w:proofErr w:type="spellStart"/>
            <w:r w:rsidRPr="00A81105">
              <w:rPr>
                <w:rFonts w:ascii="Cambria" w:hAnsi="Cambria"/>
                <w:bCs/>
                <w:sz w:val="24"/>
                <w:szCs w:val="24"/>
              </w:rPr>
              <w:t>vers</w:t>
            </w:r>
            <w:proofErr w:type="spellEnd"/>
            <w:r w:rsidRPr="00A81105">
              <w:rPr>
                <w:rFonts w:ascii="Cambria" w:hAnsi="Cambria"/>
                <w:bCs/>
                <w:sz w:val="24"/>
                <w:szCs w:val="24"/>
              </w:rPr>
              <w:t xml:space="preserve">. </w:t>
            </w:r>
            <w:proofErr w:type="spellStart"/>
            <w:r w:rsidRPr="00A81105">
              <w:rPr>
                <w:rFonts w:ascii="Cambria" w:hAnsi="Cambria"/>
                <w:bCs/>
                <w:sz w:val="24"/>
                <w:szCs w:val="24"/>
              </w:rPr>
              <w:t>prev</w:t>
            </w:r>
            <w:proofErr w:type="spellEnd"/>
            <w:r w:rsidRPr="00A81105">
              <w:rPr>
                <w:rFonts w:ascii="Cambria" w:hAnsi="Cambria"/>
                <w:bCs/>
                <w:sz w:val="24"/>
                <w:szCs w:val="24"/>
              </w:rPr>
              <w:t>.</w:t>
            </w:r>
          </w:p>
        </w:tc>
        <w:tc>
          <w:tcPr>
            <w:tcW w:w="1269" w:type="dxa"/>
            <w:tcBorders>
              <w:top w:val="nil"/>
              <w:left w:val="single" w:sz="8" w:space="0" w:color="auto"/>
              <w:bottom w:val="nil"/>
              <w:right w:val="nil"/>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3'600/7'200</w:t>
            </w:r>
          </w:p>
        </w:tc>
        <w:tc>
          <w:tcPr>
            <w:tcW w:w="1692" w:type="dxa"/>
            <w:tcBorders>
              <w:top w:val="nil"/>
              <w:left w:val="single" w:sz="8" w:space="0" w:color="auto"/>
              <w:bottom w:val="nil"/>
              <w:right w:val="single" w:sz="8"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4'500/9'000</w:t>
            </w:r>
          </w:p>
        </w:tc>
        <w:tc>
          <w:tcPr>
            <w:tcW w:w="1692" w:type="dxa"/>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4'800/9'600</w:t>
            </w:r>
          </w:p>
        </w:tc>
        <w:tc>
          <w:tcPr>
            <w:tcW w:w="1171" w:type="dxa"/>
            <w:tcBorders>
              <w:top w:val="nil"/>
              <w:left w:val="single" w:sz="8" w:space="0" w:color="auto"/>
              <w:bottom w:val="nil"/>
              <w:right w:val="single" w:sz="4"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i/>
                <w:iCs/>
                <w:sz w:val="24"/>
                <w:szCs w:val="24"/>
              </w:rPr>
              <w:t>1'200/2'400</w:t>
            </w:r>
          </w:p>
        </w:tc>
        <w:tc>
          <w:tcPr>
            <w:tcW w:w="771" w:type="dxa"/>
            <w:tcBorders>
              <w:top w:val="nil"/>
              <w:left w:val="nil"/>
              <w:bottom w:val="nil"/>
              <w:right w:val="single" w:sz="8"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i/>
                <w:iCs/>
                <w:sz w:val="24"/>
                <w:szCs w:val="24"/>
              </w:rPr>
              <w:t>33.3%</w:t>
            </w:r>
          </w:p>
        </w:tc>
      </w:tr>
      <w:tr w:rsidR="00A81105" w:rsidRPr="00A81105" w:rsidTr="00EA0C4D">
        <w:trPr>
          <w:trHeight w:val="300"/>
        </w:trPr>
        <w:tc>
          <w:tcPr>
            <w:tcW w:w="2129" w:type="dxa"/>
            <w:tcBorders>
              <w:top w:val="nil"/>
              <w:left w:val="single" w:sz="8" w:space="0" w:color="auto"/>
              <w:bottom w:val="nil"/>
              <w:right w:val="nil"/>
            </w:tcBorders>
            <w:noWrap/>
            <w:vAlign w:val="center"/>
            <w:hideMark/>
          </w:tcPr>
          <w:p w:rsidR="00A81105" w:rsidRPr="00A81105" w:rsidRDefault="00A81105" w:rsidP="00EA0C4D">
            <w:pPr>
              <w:spacing w:after="0" w:line="240" w:lineRule="auto"/>
              <w:jc w:val="both"/>
              <w:rPr>
                <w:rFonts w:ascii="Cambria" w:hAnsi="Cambria"/>
                <w:sz w:val="24"/>
                <w:szCs w:val="24"/>
              </w:rPr>
            </w:pPr>
            <w:r w:rsidRPr="00A81105">
              <w:rPr>
                <w:rFonts w:ascii="Cambria" w:hAnsi="Cambria"/>
                <w:bCs/>
                <w:sz w:val="24"/>
                <w:szCs w:val="24"/>
              </w:rPr>
              <w:t xml:space="preserve">Senza </w:t>
            </w:r>
            <w:proofErr w:type="spellStart"/>
            <w:r w:rsidRPr="00A81105">
              <w:rPr>
                <w:rFonts w:ascii="Cambria" w:hAnsi="Cambria"/>
                <w:bCs/>
                <w:sz w:val="24"/>
                <w:szCs w:val="24"/>
              </w:rPr>
              <w:t>vers</w:t>
            </w:r>
            <w:proofErr w:type="spellEnd"/>
            <w:r w:rsidRPr="00A81105">
              <w:rPr>
                <w:rFonts w:ascii="Cambria" w:hAnsi="Cambria"/>
                <w:bCs/>
                <w:sz w:val="24"/>
                <w:szCs w:val="24"/>
              </w:rPr>
              <w:t xml:space="preserve">. </w:t>
            </w:r>
            <w:proofErr w:type="spellStart"/>
            <w:r w:rsidRPr="00A81105">
              <w:rPr>
                <w:rFonts w:ascii="Cambria" w:hAnsi="Cambria"/>
                <w:bCs/>
                <w:sz w:val="24"/>
                <w:szCs w:val="24"/>
              </w:rPr>
              <w:t>prev</w:t>
            </w:r>
            <w:proofErr w:type="spellEnd"/>
            <w:r w:rsidRPr="00A81105">
              <w:rPr>
                <w:rFonts w:ascii="Cambria" w:hAnsi="Cambria"/>
                <w:bCs/>
                <w:sz w:val="24"/>
                <w:szCs w:val="24"/>
              </w:rPr>
              <w:t>.</w:t>
            </w:r>
          </w:p>
        </w:tc>
        <w:tc>
          <w:tcPr>
            <w:tcW w:w="1269" w:type="dxa"/>
            <w:tcBorders>
              <w:top w:val="nil"/>
              <w:left w:val="single" w:sz="8" w:space="0" w:color="auto"/>
              <w:bottom w:val="nil"/>
              <w:right w:val="nil"/>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3'600/7'200</w:t>
            </w:r>
          </w:p>
        </w:tc>
        <w:tc>
          <w:tcPr>
            <w:tcW w:w="1692" w:type="dxa"/>
            <w:tcBorders>
              <w:top w:val="nil"/>
              <w:left w:val="single" w:sz="8" w:space="0" w:color="auto"/>
              <w:bottom w:val="nil"/>
              <w:right w:val="single" w:sz="8"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4'500/9'000</w:t>
            </w:r>
          </w:p>
        </w:tc>
        <w:tc>
          <w:tcPr>
            <w:tcW w:w="1692" w:type="dxa"/>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6’800/13’600</w:t>
            </w:r>
          </w:p>
        </w:tc>
        <w:tc>
          <w:tcPr>
            <w:tcW w:w="1171" w:type="dxa"/>
            <w:tcBorders>
              <w:top w:val="nil"/>
              <w:left w:val="single" w:sz="8" w:space="0" w:color="auto"/>
              <w:bottom w:val="nil"/>
              <w:right w:val="single" w:sz="4"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i/>
                <w:iCs/>
                <w:sz w:val="24"/>
                <w:szCs w:val="24"/>
              </w:rPr>
              <w:t>3’200/6’400</w:t>
            </w:r>
          </w:p>
        </w:tc>
        <w:tc>
          <w:tcPr>
            <w:tcW w:w="771" w:type="dxa"/>
            <w:tcBorders>
              <w:top w:val="nil"/>
              <w:left w:val="nil"/>
              <w:bottom w:val="nil"/>
              <w:right w:val="single" w:sz="8"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i/>
                <w:iCs/>
                <w:sz w:val="24"/>
                <w:szCs w:val="24"/>
              </w:rPr>
              <w:t>88.9%</w:t>
            </w:r>
          </w:p>
        </w:tc>
      </w:tr>
      <w:tr w:rsidR="00A81105" w:rsidRPr="00A81105" w:rsidTr="00EA0C4D">
        <w:trPr>
          <w:trHeight w:val="300"/>
        </w:trPr>
        <w:tc>
          <w:tcPr>
            <w:tcW w:w="2129" w:type="dxa"/>
            <w:tcBorders>
              <w:top w:val="nil"/>
              <w:left w:val="single" w:sz="8" w:space="0" w:color="auto"/>
              <w:bottom w:val="nil"/>
              <w:right w:val="nil"/>
            </w:tcBorders>
            <w:noWrap/>
            <w:vAlign w:val="center"/>
            <w:hideMark/>
          </w:tcPr>
          <w:p w:rsidR="00A81105" w:rsidRPr="00A81105" w:rsidRDefault="00A81105" w:rsidP="00EA0C4D">
            <w:pPr>
              <w:spacing w:after="0" w:line="240" w:lineRule="auto"/>
              <w:jc w:val="both"/>
              <w:rPr>
                <w:rFonts w:ascii="Cambria" w:hAnsi="Cambria"/>
                <w:sz w:val="24"/>
                <w:szCs w:val="24"/>
              </w:rPr>
            </w:pPr>
            <w:r w:rsidRPr="00A81105">
              <w:rPr>
                <w:rFonts w:ascii="Cambria" w:hAnsi="Cambria"/>
                <w:bCs/>
                <w:sz w:val="24"/>
                <w:szCs w:val="24"/>
              </w:rPr>
              <w:t>Doppio reddito</w:t>
            </w:r>
          </w:p>
        </w:tc>
        <w:tc>
          <w:tcPr>
            <w:tcW w:w="1269" w:type="dxa"/>
            <w:tcBorders>
              <w:top w:val="nil"/>
              <w:left w:val="single" w:sz="8" w:space="0" w:color="auto"/>
              <w:bottom w:val="nil"/>
              <w:right w:val="nil"/>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4'400</w:t>
            </w:r>
          </w:p>
        </w:tc>
        <w:tc>
          <w:tcPr>
            <w:tcW w:w="1692" w:type="dxa"/>
            <w:tcBorders>
              <w:top w:val="nil"/>
              <w:left w:val="single" w:sz="8" w:space="0" w:color="auto"/>
              <w:bottom w:val="nil"/>
              <w:right w:val="single" w:sz="8"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4'400</w:t>
            </w:r>
          </w:p>
        </w:tc>
        <w:tc>
          <w:tcPr>
            <w:tcW w:w="1692" w:type="dxa"/>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7'000</w:t>
            </w:r>
          </w:p>
        </w:tc>
        <w:tc>
          <w:tcPr>
            <w:tcW w:w="1171" w:type="dxa"/>
            <w:tcBorders>
              <w:top w:val="nil"/>
              <w:left w:val="single" w:sz="8" w:space="0" w:color="auto"/>
              <w:bottom w:val="nil"/>
              <w:right w:val="single" w:sz="4"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i/>
                <w:iCs/>
                <w:sz w:val="24"/>
                <w:szCs w:val="24"/>
              </w:rPr>
              <w:t>2'600</w:t>
            </w:r>
          </w:p>
        </w:tc>
        <w:tc>
          <w:tcPr>
            <w:tcW w:w="771" w:type="dxa"/>
            <w:tcBorders>
              <w:top w:val="nil"/>
              <w:left w:val="nil"/>
              <w:bottom w:val="nil"/>
              <w:right w:val="single" w:sz="8"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i/>
                <w:iCs/>
                <w:sz w:val="24"/>
                <w:szCs w:val="24"/>
              </w:rPr>
              <w:t>59.1%</w:t>
            </w:r>
          </w:p>
        </w:tc>
      </w:tr>
      <w:tr w:rsidR="00A81105" w:rsidRPr="00A81105" w:rsidTr="00EA0C4D">
        <w:trPr>
          <w:trHeight w:val="300"/>
        </w:trPr>
        <w:tc>
          <w:tcPr>
            <w:tcW w:w="2129" w:type="dxa"/>
            <w:tcBorders>
              <w:top w:val="nil"/>
              <w:left w:val="single" w:sz="8" w:space="0" w:color="auto"/>
              <w:bottom w:val="nil"/>
              <w:right w:val="nil"/>
            </w:tcBorders>
            <w:noWrap/>
            <w:vAlign w:val="center"/>
            <w:hideMark/>
          </w:tcPr>
          <w:p w:rsidR="00A81105" w:rsidRPr="00A81105" w:rsidRDefault="00A81105" w:rsidP="00EA0C4D">
            <w:pPr>
              <w:spacing w:after="0" w:line="240" w:lineRule="auto"/>
              <w:jc w:val="both"/>
              <w:rPr>
                <w:rFonts w:ascii="Cambria" w:hAnsi="Cambria"/>
                <w:sz w:val="24"/>
                <w:szCs w:val="24"/>
              </w:rPr>
            </w:pPr>
            <w:r w:rsidRPr="00A81105">
              <w:rPr>
                <w:rFonts w:ascii="Cambria" w:hAnsi="Cambria"/>
                <w:bCs/>
                <w:sz w:val="24"/>
                <w:szCs w:val="24"/>
              </w:rPr>
              <w:t>Figli a carico</w:t>
            </w:r>
          </w:p>
        </w:tc>
        <w:tc>
          <w:tcPr>
            <w:tcW w:w="1269" w:type="dxa"/>
            <w:tcBorders>
              <w:top w:val="nil"/>
              <w:left w:val="single" w:sz="8" w:space="0" w:color="auto"/>
              <w:bottom w:val="nil"/>
              <w:right w:val="nil"/>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6'200</w:t>
            </w:r>
          </w:p>
        </w:tc>
        <w:tc>
          <w:tcPr>
            <w:tcW w:w="1692" w:type="dxa"/>
            <w:tcBorders>
              <w:top w:val="nil"/>
              <w:left w:val="single" w:sz="8" w:space="0" w:color="auto"/>
              <w:bottom w:val="nil"/>
              <w:right w:val="single" w:sz="8"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8'000</w:t>
            </w:r>
          </w:p>
        </w:tc>
        <w:tc>
          <w:tcPr>
            <w:tcW w:w="1692" w:type="dxa"/>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10'400</w:t>
            </w:r>
          </w:p>
        </w:tc>
        <w:tc>
          <w:tcPr>
            <w:tcW w:w="1171" w:type="dxa"/>
            <w:tcBorders>
              <w:top w:val="nil"/>
              <w:left w:val="single" w:sz="8" w:space="0" w:color="auto"/>
              <w:bottom w:val="nil"/>
              <w:right w:val="single" w:sz="4"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i/>
                <w:iCs/>
                <w:sz w:val="24"/>
                <w:szCs w:val="24"/>
              </w:rPr>
              <w:t>4'200</w:t>
            </w:r>
          </w:p>
        </w:tc>
        <w:tc>
          <w:tcPr>
            <w:tcW w:w="771" w:type="dxa"/>
            <w:tcBorders>
              <w:top w:val="nil"/>
              <w:left w:val="nil"/>
              <w:bottom w:val="nil"/>
              <w:right w:val="single" w:sz="8"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i/>
                <w:iCs/>
                <w:sz w:val="24"/>
                <w:szCs w:val="24"/>
              </w:rPr>
              <w:t>67.7%</w:t>
            </w:r>
          </w:p>
        </w:tc>
      </w:tr>
      <w:tr w:rsidR="00A81105" w:rsidRPr="00A81105" w:rsidTr="00EA0C4D">
        <w:trPr>
          <w:trHeight w:val="300"/>
        </w:trPr>
        <w:tc>
          <w:tcPr>
            <w:tcW w:w="2129" w:type="dxa"/>
            <w:tcBorders>
              <w:top w:val="nil"/>
              <w:left w:val="single" w:sz="8" w:space="0" w:color="auto"/>
              <w:bottom w:val="nil"/>
              <w:right w:val="nil"/>
            </w:tcBorders>
            <w:noWrap/>
            <w:vAlign w:val="center"/>
            <w:hideMark/>
          </w:tcPr>
          <w:p w:rsidR="00A81105" w:rsidRPr="00A81105" w:rsidRDefault="00A81105" w:rsidP="00EA0C4D">
            <w:pPr>
              <w:spacing w:after="0" w:line="240" w:lineRule="auto"/>
              <w:jc w:val="both"/>
              <w:rPr>
                <w:rFonts w:ascii="Cambria" w:hAnsi="Cambria"/>
                <w:sz w:val="24"/>
                <w:szCs w:val="24"/>
              </w:rPr>
            </w:pPr>
            <w:r w:rsidRPr="00A81105">
              <w:rPr>
                <w:rFonts w:ascii="Cambria" w:hAnsi="Cambria"/>
                <w:bCs/>
                <w:sz w:val="24"/>
                <w:szCs w:val="24"/>
              </w:rPr>
              <w:t>Figli agli studi (max.)</w:t>
            </w:r>
          </w:p>
        </w:tc>
        <w:tc>
          <w:tcPr>
            <w:tcW w:w="1269" w:type="dxa"/>
            <w:tcBorders>
              <w:top w:val="nil"/>
              <w:left w:val="single" w:sz="8" w:space="0" w:color="auto"/>
              <w:bottom w:val="nil"/>
              <w:right w:val="nil"/>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5'600</w:t>
            </w:r>
          </w:p>
        </w:tc>
        <w:tc>
          <w:tcPr>
            <w:tcW w:w="1692" w:type="dxa"/>
            <w:tcBorders>
              <w:top w:val="nil"/>
              <w:left w:val="single" w:sz="8" w:space="0" w:color="auto"/>
              <w:bottom w:val="nil"/>
              <w:right w:val="single" w:sz="8"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5'600</w:t>
            </w:r>
          </w:p>
        </w:tc>
        <w:tc>
          <w:tcPr>
            <w:tcW w:w="1692" w:type="dxa"/>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12'400</w:t>
            </w:r>
          </w:p>
        </w:tc>
        <w:tc>
          <w:tcPr>
            <w:tcW w:w="1171" w:type="dxa"/>
            <w:tcBorders>
              <w:top w:val="nil"/>
              <w:left w:val="single" w:sz="8" w:space="0" w:color="auto"/>
              <w:bottom w:val="nil"/>
              <w:right w:val="single" w:sz="4"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i/>
                <w:iCs/>
                <w:sz w:val="24"/>
                <w:szCs w:val="24"/>
              </w:rPr>
              <w:t>6'800</w:t>
            </w:r>
          </w:p>
        </w:tc>
        <w:tc>
          <w:tcPr>
            <w:tcW w:w="771" w:type="dxa"/>
            <w:tcBorders>
              <w:top w:val="nil"/>
              <w:left w:val="nil"/>
              <w:bottom w:val="nil"/>
              <w:right w:val="single" w:sz="8"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i/>
                <w:iCs/>
                <w:sz w:val="24"/>
                <w:szCs w:val="24"/>
              </w:rPr>
              <w:t>121.4%</w:t>
            </w:r>
          </w:p>
        </w:tc>
      </w:tr>
      <w:tr w:rsidR="00A81105" w:rsidRPr="00A81105" w:rsidTr="00EA0C4D">
        <w:trPr>
          <w:trHeight w:val="315"/>
        </w:trPr>
        <w:tc>
          <w:tcPr>
            <w:tcW w:w="2129" w:type="dxa"/>
            <w:tcBorders>
              <w:top w:val="nil"/>
              <w:left w:val="single" w:sz="8" w:space="0" w:color="auto"/>
              <w:bottom w:val="single" w:sz="8" w:space="0" w:color="auto"/>
              <w:right w:val="nil"/>
            </w:tcBorders>
            <w:noWrap/>
            <w:vAlign w:val="center"/>
            <w:hideMark/>
          </w:tcPr>
          <w:p w:rsidR="00A81105" w:rsidRPr="00A81105" w:rsidRDefault="00A81105" w:rsidP="00EA0C4D">
            <w:pPr>
              <w:spacing w:after="0" w:line="240" w:lineRule="auto"/>
              <w:jc w:val="both"/>
              <w:rPr>
                <w:rFonts w:ascii="Cambria" w:hAnsi="Cambria"/>
                <w:sz w:val="24"/>
                <w:szCs w:val="24"/>
              </w:rPr>
            </w:pPr>
            <w:r w:rsidRPr="00A81105">
              <w:rPr>
                <w:rFonts w:ascii="Cambria" w:hAnsi="Cambria"/>
                <w:bCs/>
                <w:sz w:val="24"/>
                <w:szCs w:val="24"/>
              </w:rPr>
              <w:t>Persona bis. (max.)</w:t>
            </w:r>
          </w:p>
        </w:tc>
        <w:tc>
          <w:tcPr>
            <w:tcW w:w="1269" w:type="dxa"/>
            <w:tcBorders>
              <w:top w:val="nil"/>
              <w:left w:val="single" w:sz="8" w:space="0" w:color="auto"/>
              <w:bottom w:val="single" w:sz="8" w:space="0" w:color="auto"/>
              <w:right w:val="nil"/>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6'200</w:t>
            </w:r>
          </w:p>
        </w:tc>
        <w:tc>
          <w:tcPr>
            <w:tcW w:w="1692" w:type="dxa"/>
            <w:tcBorders>
              <w:top w:val="nil"/>
              <w:left w:val="single" w:sz="8" w:space="0" w:color="auto"/>
              <w:bottom w:val="single" w:sz="8" w:space="0" w:color="auto"/>
              <w:right w:val="single" w:sz="8"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8'000</w:t>
            </w:r>
          </w:p>
        </w:tc>
        <w:tc>
          <w:tcPr>
            <w:tcW w:w="1692" w:type="dxa"/>
            <w:tcBorders>
              <w:top w:val="nil"/>
              <w:left w:val="nil"/>
              <w:bottom w:val="single" w:sz="8" w:space="0" w:color="auto"/>
              <w:right w:val="nil"/>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sz w:val="24"/>
                <w:szCs w:val="24"/>
              </w:rPr>
              <w:t>10'400</w:t>
            </w:r>
          </w:p>
        </w:tc>
        <w:tc>
          <w:tcPr>
            <w:tcW w:w="1171" w:type="dxa"/>
            <w:tcBorders>
              <w:top w:val="nil"/>
              <w:left w:val="single" w:sz="8" w:space="0" w:color="auto"/>
              <w:bottom w:val="single" w:sz="8" w:space="0" w:color="auto"/>
              <w:right w:val="single" w:sz="4"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i/>
                <w:iCs/>
                <w:sz w:val="24"/>
                <w:szCs w:val="24"/>
              </w:rPr>
              <w:t>4'200</w:t>
            </w:r>
          </w:p>
        </w:tc>
        <w:tc>
          <w:tcPr>
            <w:tcW w:w="771" w:type="dxa"/>
            <w:tcBorders>
              <w:top w:val="nil"/>
              <w:left w:val="nil"/>
              <w:bottom w:val="single" w:sz="8" w:space="0" w:color="auto"/>
              <w:right w:val="single" w:sz="8" w:space="0" w:color="auto"/>
            </w:tcBorders>
            <w:noWrap/>
            <w:vAlign w:val="bottom"/>
            <w:hideMark/>
          </w:tcPr>
          <w:p w:rsidR="00A81105" w:rsidRPr="00A81105" w:rsidRDefault="00A81105" w:rsidP="00EA0C4D">
            <w:pPr>
              <w:spacing w:after="0" w:line="240" w:lineRule="auto"/>
              <w:jc w:val="center"/>
              <w:rPr>
                <w:rFonts w:ascii="Cambria" w:hAnsi="Cambria"/>
                <w:sz w:val="24"/>
                <w:szCs w:val="24"/>
              </w:rPr>
            </w:pPr>
            <w:r w:rsidRPr="00A81105">
              <w:rPr>
                <w:rFonts w:ascii="Cambria" w:hAnsi="Cambria"/>
                <w:i/>
                <w:iCs/>
                <w:sz w:val="24"/>
                <w:szCs w:val="24"/>
              </w:rPr>
              <w:t>67.7%</w:t>
            </w:r>
          </w:p>
        </w:tc>
      </w:tr>
    </w:tbl>
    <w:p w:rsidR="00A81105" w:rsidRPr="00A81105" w:rsidRDefault="00A81105" w:rsidP="00A81105">
      <w:pPr>
        <w:spacing w:after="0" w:line="240" w:lineRule="auto"/>
        <w:jc w:val="both"/>
        <w:rPr>
          <w:rFonts w:ascii="Cambria" w:hAnsi="Cambria"/>
          <w:sz w:val="24"/>
          <w:szCs w:val="24"/>
        </w:rPr>
      </w:pPr>
    </w:p>
    <w:p w:rsidR="00A81105" w:rsidRPr="00A81105" w:rsidRDefault="00A81105" w:rsidP="00A81105">
      <w:pPr>
        <w:spacing w:after="0" w:line="240" w:lineRule="auto"/>
        <w:jc w:val="both"/>
        <w:rPr>
          <w:rFonts w:ascii="Cambria" w:hAnsi="Cambria" w:cs="Arial"/>
          <w:sz w:val="24"/>
          <w:szCs w:val="24"/>
          <w:lang w:eastAsia="it-IT"/>
        </w:rPr>
      </w:pPr>
    </w:p>
    <w:p w:rsidR="00A81105" w:rsidRPr="00A81105" w:rsidRDefault="00A81105" w:rsidP="00A81105">
      <w:pPr>
        <w:spacing w:after="0" w:line="240" w:lineRule="auto"/>
        <w:jc w:val="both"/>
        <w:rPr>
          <w:rFonts w:ascii="Cambria" w:hAnsi="Cambria" w:cs="Arial"/>
          <w:sz w:val="24"/>
          <w:szCs w:val="24"/>
          <w:lang w:val="it-IT" w:eastAsia="it-IT"/>
        </w:rPr>
      </w:pPr>
      <w:r w:rsidRPr="00A81105">
        <w:rPr>
          <w:rFonts w:ascii="Cambria" w:hAnsi="Cambria" w:cs="Arial"/>
          <w:sz w:val="24"/>
          <w:szCs w:val="24"/>
          <w:lang w:val="it-IT" w:eastAsia="it-IT"/>
        </w:rPr>
        <w:t xml:space="preserve">Si segnala per completezza d’informazione che la differenza tra gli importi attuali e quelli entrati in vigore nel 2003 sono da ricondurre agli adeguamenti degli effetti della progressione a freddo effettuati nei periodi fiscali 2005, 2007, 2008 e 2012. </w:t>
      </w:r>
      <w:r w:rsidRPr="00A81105">
        <w:rPr>
          <w:rFonts w:ascii="Cambria" w:hAnsi="Cambria"/>
          <w:sz w:val="24"/>
          <w:szCs w:val="24"/>
          <w:lang w:val="it-IT"/>
        </w:rPr>
        <w:t>In ossequio all’art. 39 LT, gli effetti della progressione a freddo sono da compensare integralmente mediante pari adeguamento delle aliquote e delle deduzioni quando l’indice nazionale dei prezzi al consumo è aumentato dell’1 per cento dall’ultimo adeguamento.</w:t>
      </w:r>
    </w:p>
    <w:p w:rsidR="00A81105" w:rsidRPr="00A81105" w:rsidRDefault="00A81105" w:rsidP="00A81105">
      <w:pPr>
        <w:spacing w:after="0" w:line="240" w:lineRule="auto"/>
        <w:jc w:val="both"/>
        <w:rPr>
          <w:rFonts w:ascii="Cambria" w:hAnsi="Cambria"/>
          <w:sz w:val="24"/>
          <w:szCs w:val="24"/>
          <w:lang w:val="it-IT"/>
        </w:rPr>
      </w:pPr>
    </w:p>
    <w:p w:rsidR="00A81105" w:rsidRPr="00A81105" w:rsidRDefault="00A81105" w:rsidP="00A81105">
      <w:pPr>
        <w:spacing w:after="0" w:line="240" w:lineRule="auto"/>
        <w:jc w:val="both"/>
        <w:rPr>
          <w:rFonts w:ascii="Cambria" w:hAnsi="Cambria"/>
          <w:sz w:val="24"/>
          <w:szCs w:val="24"/>
          <w:lang w:val="it-IT"/>
        </w:rPr>
      </w:pPr>
      <w:r w:rsidRPr="00A81105">
        <w:rPr>
          <w:rFonts w:ascii="Cambria" w:hAnsi="Cambria"/>
          <w:sz w:val="24"/>
          <w:szCs w:val="24"/>
          <w:lang w:val="it-IT"/>
        </w:rPr>
        <w:t>Diciassette anni orsono il Consiglio di Stato affermava di voler “contribuire ad attenuare gli effetti degli aumenti dei premi di cassa malati prodottisi in Ticino dall’entrata in vigore della Legge federale sull’assicurazione contro le malattie (</w:t>
      </w:r>
      <w:proofErr w:type="spellStart"/>
      <w:r w:rsidRPr="00A81105">
        <w:rPr>
          <w:rFonts w:ascii="Cambria" w:hAnsi="Cambria"/>
          <w:sz w:val="24"/>
          <w:szCs w:val="24"/>
          <w:lang w:val="it-IT"/>
        </w:rPr>
        <w:t>LAMal</w:t>
      </w:r>
      <w:proofErr w:type="spellEnd"/>
      <w:r w:rsidRPr="00A81105">
        <w:rPr>
          <w:rFonts w:ascii="Cambria" w:hAnsi="Cambria"/>
          <w:sz w:val="24"/>
          <w:szCs w:val="24"/>
          <w:lang w:val="it-IT"/>
        </w:rPr>
        <w:t xml:space="preserve">)”. </w:t>
      </w:r>
      <w:r w:rsidRPr="00A81105">
        <w:rPr>
          <w:rFonts w:ascii="Cambria" w:hAnsi="Cambria"/>
          <w:b/>
          <w:sz w:val="24"/>
          <w:szCs w:val="24"/>
          <w:lang w:val="it-IT"/>
        </w:rPr>
        <w:t>Oggi a maggior ragione dopo l’esplosione dell’onere a carico dei soggetti fiscali che non beneficiano di sussidi cassa malati, è più che mai opportuno rivedere queste soglie, indicate nella legge tributaria all’articolo 32 Deduzioni generali lettera g), innanzandole del 20%.</w:t>
      </w:r>
      <w:r w:rsidRPr="00A81105">
        <w:rPr>
          <w:rFonts w:ascii="Cambria" w:hAnsi="Cambria"/>
          <w:sz w:val="24"/>
          <w:szCs w:val="24"/>
          <w:lang w:val="it-IT"/>
        </w:rPr>
        <w:t xml:space="preserve"> La misura favorirebbe il potere d’acquisto del ceto medio, e in particolare le famiglie con figli che non beneficiano di sussidi cassa malati da parte dello Stato.</w:t>
      </w:r>
    </w:p>
    <w:p w:rsidR="00A81105" w:rsidRPr="00A81105" w:rsidRDefault="00A81105" w:rsidP="00A81105">
      <w:pPr>
        <w:spacing w:after="0" w:line="240" w:lineRule="auto"/>
        <w:jc w:val="both"/>
        <w:rPr>
          <w:rFonts w:ascii="Cambria" w:hAnsi="Cambria"/>
          <w:sz w:val="24"/>
          <w:szCs w:val="24"/>
          <w:lang w:val="it-IT"/>
        </w:rPr>
      </w:pPr>
    </w:p>
    <w:p w:rsidR="00A81105" w:rsidRPr="00A81105" w:rsidRDefault="00A81105" w:rsidP="00A81105">
      <w:pPr>
        <w:spacing w:after="0" w:line="240" w:lineRule="auto"/>
        <w:jc w:val="both"/>
        <w:rPr>
          <w:rFonts w:ascii="Cambria" w:hAnsi="Cambria"/>
          <w:sz w:val="24"/>
          <w:szCs w:val="24"/>
          <w:lang w:val="it-IT"/>
        </w:rPr>
      </w:pPr>
      <w:r w:rsidRPr="00A81105">
        <w:rPr>
          <w:rFonts w:ascii="Cambria" w:hAnsi="Cambria"/>
          <w:sz w:val="24"/>
          <w:szCs w:val="24"/>
          <w:lang w:val="it-IT"/>
        </w:rPr>
        <w:t>Per il gruppo UDC/</w:t>
      </w:r>
      <w:proofErr w:type="spellStart"/>
      <w:r w:rsidRPr="00A81105">
        <w:rPr>
          <w:rFonts w:ascii="Cambria" w:hAnsi="Cambria"/>
          <w:sz w:val="24"/>
          <w:szCs w:val="24"/>
          <w:lang w:val="it-IT"/>
        </w:rPr>
        <w:t>Arealiberale</w:t>
      </w:r>
      <w:proofErr w:type="spellEnd"/>
    </w:p>
    <w:p w:rsidR="00A81105" w:rsidRDefault="00A81105" w:rsidP="00A81105">
      <w:pPr>
        <w:spacing w:after="0" w:line="240" w:lineRule="auto"/>
        <w:jc w:val="both"/>
        <w:rPr>
          <w:rFonts w:ascii="Cambria" w:hAnsi="Cambria"/>
          <w:sz w:val="24"/>
          <w:szCs w:val="24"/>
          <w:lang w:val="it-IT"/>
        </w:rPr>
      </w:pPr>
      <w:r w:rsidRPr="00A81105">
        <w:rPr>
          <w:rFonts w:ascii="Cambria" w:hAnsi="Cambria"/>
          <w:sz w:val="24"/>
          <w:szCs w:val="24"/>
          <w:lang w:val="it-IT"/>
        </w:rPr>
        <w:t xml:space="preserve">Gabriele </w:t>
      </w:r>
      <w:proofErr w:type="spellStart"/>
      <w:r w:rsidRPr="00A81105">
        <w:rPr>
          <w:rFonts w:ascii="Cambria" w:hAnsi="Cambria"/>
          <w:sz w:val="24"/>
          <w:szCs w:val="24"/>
          <w:lang w:val="it-IT"/>
        </w:rPr>
        <w:t>Pinoja</w:t>
      </w:r>
      <w:proofErr w:type="spellEnd"/>
    </w:p>
    <w:p w:rsidR="0073706A" w:rsidRPr="00A81105" w:rsidRDefault="0073706A" w:rsidP="00A81105">
      <w:pPr>
        <w:spacing w:after="0" w:line="240" w:lineRule="auto"/>
        <w:jc w:val="both"/>
        <w:rPr>
          <w:rFonts w:ascii="Cambria" w:hAnsi="Cambria"/>
          <w:sz w:val="24"/>
          <w:szCs w:val="24"/>
          <w:lang w:val="it-IT"/>
        </w:rPr>
      </w:pPr>
    </w:p>
    <w:p w:rsidR="00A81105" w:rsidRDefault="00A81105" w:rsidP="009D040A">
      <w:pPr>
        <w:spacing w:beforeLines="100" w:before="240" w:afterLines="100" w:after="240" w:line="240" w:lineRule="auto"/>
        <w:jc w:val="both"/>
        <w:rPr>
          <w:rFonts w:ascii="Cambria" w:eastAsia="Times New Roman" w:hAnsi="Cambria"/>
          <w:sz w:val="24"/>
          <w:szCs w:val="24"/>
          <w:lang w:val="it-IT"/>
        </w:rPr>
      </w:pPr>
    </w:p>
    <w:p w:rsidR="00EF702D" w:rsidRDefault="00EF702D" w:rsidP="009D040A">
      <w:pPr>
        <w:spacing w:beforeLines="100" w:before="240" w:afterLines="100" w:after="240" w:line="240" w:lineRule="auto"/>
        <w:jc w:val="both"/>
        <w:rPr>
          <w:rFonts w:ascii="Cambria" w:eastAsia="Times New Roman" w:hAnsi="Cambria"/>
          <w:sz w:val="24"/>
          <w:szCs w:val="24"/>
          <w:lang w:val="it-IT"/>
        </w:rPr>
      </w:pPr>
    </w:p>
    <w:p w:rsidR="00A81105" w:rsidRPr="00A81105" w:rsidRDefault="00A81105" w:rsidP="009D040A">
      <w:pPr>
        <w:spacing w:beforeLines="100" w:before="240" w:afterLines="100" w:after="240" w:line="240" w:lineRule="auto"/>
        <w:jc w:val="both"/>
        <w:rPr>
          <w:rFonts w:ascii="Cambria" w:eastAsia="Times New Roman" w:hAnsi="Cambria"/>
          <w:sz w:val="24"/>
          <w:szCs w:val="24"/>
          <w:lang w:val="it-IT"/>
        </w:rPr>
      </w:pPr>
      <w:r>
        <w:rPr>
          <w:rFonts w:ascii="Cambria" w:eastAsia="Times New Roman" w:hAnsi="Cambria"/>
          <w:sz w:val="24"/>
          <w:szCs w:val="24"/>
          <w:lang w:val="it-IT"/>
        </w:rPr>
        <w:t>Ringraziandovi per l’interesse che vorrete dedicare a questo nostro comunicato, vi presento cordiali saluti.</w:t>
      </w:r>
    </w:p>
    <w:p w:rsidR="00B920A4" w:rsidRDefault="00B920A4" w:rsidP="009D040A">
      <w:pPr>
        <w:spacing w:beforeLines="60" w:before="144" w:afterLines="60" w:after="144" w:line="240" w:lineRule="auto"/>
        <w:jc w:val="both"/>
        <w:rPr>
          <w:rFonts w:ascii="Cambria" w:eastAsia="Times New Roman" w:hAnsi="Cambria"/>
          <w:sz w:val="24"/>
          <w:szCs w:val="24"/>
          <w:lang w:val="it-IT"/>
        </w:rPr>
      </w:pPr>
    </w:p>
    <w:p w:rsidR="00EF702D" w:rsidRDefault="00EF702D" w:rsidP="00EF702D">
      <w:pPr>
        <w:spacing w:after="0" w:line="240" w:lineRule="auto"/>
        <w:jc w:val="both"/>
        <w:rPr>
          <w:rFonts w:ascii="Cambria" w:eastAsia="Times New Roman" w:hAnsi="Cambria"/>
          <w:sz w:val="24"/>
          <w:szCs w:val="24"/>
          <w:lang w:val="it-IT"/>
        </w:rPr>
      </w:pPr>
      <w:r>
        <w:rPr>
          <w:rFonts w:ascii="Cambria" w:eastAsia="Times New Roman" w:hAnsi="Cambria"/>
          <w:sz w:val="24"/>
          <w:szCs w:val="24"/>
          <w:lang w:val="it-IT"/>
        </w:rPr>
        <w:t>Piero Marchesi</w:t>
      </w:r>
    </w:p>
    <w:p w:rsidR="00EF702D" w:rsidRPr="00A81105" w:rsidRDefault="00EF702D" w:rsidP="00EF702D">
      <w:pPr>
        <w:spacing w:after="0" w:line="240" w:lineRule="auto"/>
        <w:jc w:val="both"/>
        <w:rPr>
          <w:rFonts w:ascii="Cambria" w:eastAsia="Times New Roman" w:hAnsi="Cambria"/>
          <w:sz w:val="24"/>
          <w:szCs w:val="24"/>
          <w:lang w:val="it-IT"/>
        </w:rPr>
      </w:pPr>
      <w:r>
        <w:rPr>
          <w:rFonts w:ascii="Cambria" w:eastAsia="Times New Roman" w:hAnsi="Cambria"/>
          <w:sz w:val="24"/>
          <w:szCs w:val="24"/>
          <w:lang w:val="it-IT"/>
        </w:rPr>
        <w:t>Presidente UDC Ticino</w:t>
      </w: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6D4C42" w:rsidRPr="00A81105" w:rsidTr="00B920A4">
        <w:tc>
          <w:tcPr>
            <w:tcW w:w="5812" w:type="dxa"/>
          </w:tcPr>
          <w:p w:rsidR="006D4C42" w:rsidRPr="00A81105" w:rsidRDefault="006D4C42" w:rsidP="00EF702D">
            <w:pPr>
              <w:jc w:val="both"/>
              <w:rPr>
                <w:rFonts w:ascii="Cambria" w:hAnsi="Cambria"/>
                <w:sz w:val="24"/>
                <w:szCs w:val="24"/>
              </w:rPr>
            </w:pPr>
          </w:p>
        </w:tc>
      </w:tr>
      <w:tr w:rsidR="00EF702D" w:rsidRPr="00A81105" w:rsidTr="00B920A4">
        <w:tc>
          <w:tcPr>
            <w:tcW w:w="5812" w:type="dxa"/>
          </w:tcPr>
          <w:p w:rsidR="00EF702D" w:rsidRPr="00A81105" w:rsidRDefault="00EF702D" w:rsidP="009D040A">
            <w:pPr>
              <w:jc w:val="both"/>
              <w:rPr>
                <w:rFonts w:ascii="Cambria" w:hAnsi="Cambria"/>
                <w:sz w:val="24"/>
                <w:szCs w:val="24"/>
              </w:rPr>
            </w:pPr>
          </w:p>
        </w:tc>
      </w:tr>
    </w:tbl>
    <w:p w:rsidR="00803B6C" w:rsidRPr="00A81105" w:rsidRDefault="00803B6C" w:rsidP="00BB6701">
      <w:pPr>
        <w:spacing w:before="60" w:after="60" w:line="240" w:lineRule="auto"/>
        <w:jc w:val="both"/>
        <w:rPr>
          <w:rFonts w:ascii="Cambria" w:hAnsi="Cambria"/>
          <w:sz w:val="24"/>
          <w:szCs w:val="24"/>
        </w:rPr>
      </w:pPr>
    </w:p>
    <w:sectPr w:rsidR="00803B6C" w:rsidRPr="00A81105">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4BB" w:rsidRDefault="005F74BB" w:rsidP="00D72B4B">
      <w:pPr>
        <w:spacing w:after="0" w:line="240" w:lineRule="auto"/>
      </w:pPr>
      <w:r>
        <w:separator/>
      </w:r>
    </w:p>
  </w:endnote>
  <w:endnote w:type="continuationSeparator" w:id="0">
    <w:p w:rsidR="005F74BB" w:rsidRDefault="005F74BB" w:rsidP="00D7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Kartika">
    <w:panose1 w:val="02020503030404060203"/>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4BB" w:rsidRDefault="005F74BB" w:rsidP="00D72B4B">
      <w:pPr>
        <w:spacing w:after="0" w:line="240" w:lineRule="auto"/>
      </w:pPr>
      <w:r>
        <w:separator/>
      </w:r>
    </w:p>
  </w:footnote>
  <w:footnote w:type="continuationSeparator" w:id="0">
    <w:p w:rsidR="005F74BB" w:rsidRDefault="005F74BB" w:rsidP="00D72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9" w:type="dxa"/>
      <w:tblLook w:val="01E0" w:firstRow="1" w:lastRow="1" w:firstColumn="1" w:lastColumn="1" w:noHBand="0" w:noVBand="0"/>
    </w:tblPr>
    <w:tblGrid>
      <w:gridCol w:w="7312"/>
      <w:gridCol w:w="2617"/>
    </w:tblGrid>
    <w:tr w:rsidR="00D72B4B" w:rsidRPr="00417904" w:rsidTr="00D72B4B">
      <w:trPr>
        <w:trHeight w:val="987"/>
      </w:trPr>
      <w:tc>
        <w:tcPr>
          <w:tcW w:w="7312" w:type="dxa"/>
        </w:tcPr>
        <w:p w:rsidR="00D72B4B" w:rsidRPr="00417904" w:rsidRDefault="00D72B4B">
          <w:pPr>
            <w:pStyle w:val="Intestazione"/>
            <w:tabs>
              <w:tab w:val="left" w:pos="2920"/>
            </w:tabs>
            <w:spacing w:line="276" w:lineRule="auto"/>
            <w:rPr>
              <w:rFonts w:ascii="Cambria" w:hAnsi="Cambria" w:cs="Tahoma"/>
              <w:sz w:val="20"/>
              <w:szCs w:val="20"/>
            </w:rPr>
          </w:pPr>
        </w:p>
        <w:p w:rsidR="00D72B4B" w:rsidRPr="00902243" w:rsidRDefault="00D72B4B">
          <w:pPr>
            <w:pStyle w:val="Intestazione"/>
            <w:tabs>
              <w:tab w:val="left" w:pos="2920"/>
            </w:tabs>
            <w:spacing w:line="276" w:lineRule="auto"/>
            <w:rPr>
              <w:rFonts w:ascii="Cambria" w:hAnsi="Cambria" w:cs="Tahoma"/>
              <w:b/>
              <w:sz w:val="24"/>
              <w:szCs w:val="24"/>
            </w:rPr>
          </w:pPr>
          <w:r w:rsidRPr="00902243">
            <w:rPr>
              <w:rFonts w:ascii="Cambria" w:hAnsi="Cambria" w:cs="Tahoma"/>
              <w:b/>
              <w:sz w:val="24"/>
              <w:szCs w:val="24"/>
            </w:rPr>
            <w:t>Unione Democratica di centro</w:t>
          </w:r>
        </w:p>
        <w:p w:rsidR="00D72B4B" w:rsidRPr="00417904" w:rsidRDefault="00D72B4B">
          <w:pPr>
            <w:spacing w:after="200" w:line="360" w:lineRule="auto"/>
            <w:rPr>
              <w:rFonts w:ascii="Cambria" w:hAnsi="Cambria"/>
              <w:sz w:val="20"/>
              <w:szCs w:val="20"/>
            </w:rPr>
          </w:pPr>
          <w:r w:rsidRPr="00902243">
            <w:rPr>
              <w:rFonts w:ascii="Cambria" w:hAnsi="Cambria"/>
              <w:sz w:val="24"/>
              <w:szCs w:val="24"/>
            </w:rPr>
            <w:t>Sezione Ticino</w:t>
          </w:r>
        </w:p>
      </w:tc>
      <w:tc>
        <w:tcPr>
          <w:tcW w:w="2617" w:type="dxa"/>
          <w:hideMark/>
        </w:tcPr>
        <w:p w:rsidR="00D72B4B" w:rsidRPr="00417904" w:rsidRDefault="00D72B4B">
          <w:pPr>
            <w:pStyle w:val="Intestazione"/>
            <w:spacing w:line="276" w:lineRule="auto"/>
            <w:jc w:val="right"/>
            <w:rPr>
              <w:rFonts w:ascii="Cambria" w:hAnsi="Cambria" w:cs="Tahoma"/>
              <w:b/>
              <w:sz w:val="20"/>
              <w:szCs w:val="20"/>
            </w:rPr>
          </w:pPr>
          <w:r w:rsidRPr="00417904">
            <w:rPr>
              <w:rFonts w:ascii="Cambria" w:hAnsi="Cambria"/>
              <w:noProof/>
              <w:sz w:val="20"/>
              <w:szCs w:val="20"/>
              <w:lang w:eastAsia="it-CH"/>
            </w:rPr>
            <w:drawing>
              <wp:inline distT="0" distB="0" distL="0" distR="0" wp14:anchorId="61EA8569" wp14:editId="7D0CFF7B">
                <wp:extent cx="1057275" cy="704850"/>
                <wp:effectExtent l="0" t="0" r="9525" b="0"/>
                <wp:docPr id="1" name="Immagine 1" descr="http://www.udc.ch/de/assets/Image/partei/logos/UDC_it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udc.ch/de/assets/Image/partei/logos/UDC_it_farb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04850"/>
                        </a:xfrm>
                        <a:prstGeom prst="rect">
                          <a:avLst/>
                        </a:prstGeom>
                        <a:noFill/>
                        <a:ln>
                          <a:noFill/>
                        </a:ln>
                      </pic:spPr>
                    </pic:pic>
                  </a:graphicData>
                </a:graphic>
              </wp:inline>
            </w:drawing>
          </w:r>
        </w:p>
      </w:tc>
    </w:tr>
  </w:tbl>
  <w:p w:rsidR="00D72B4B" w:rsidRDefault="00D72B4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0325"/>
    <w:multiLevelType w:val="hybridMultilevel"/>
    <w:tmpl w:val="E1C0314C"/>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
    <w:nsid w:val="6BF61D70"/>
    <w:multiLevelType w:val="hybridMultilevel"/>
    <w:tmpl w:val="0A7487D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nsid w:val="797A03BD"/>
    <w:multiLevelType w:val="hybridMultilevel"/>
    <w:tmpl w:val="3BEAE44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D9"/>
    <w:rsid w:val="00042E92"/>
    <w:rsid w:val="000444F3"/>
    <w:rsid w:val="00053A07"/>
    <w:rsid w:val="000F7961"/>
    <w:rsid w:val="001A3E0E"/>
    <w:rsid w:val="001E6E3C"/>
    <w:rsid w:val="00245F98"/>
    <w:rsid w:val="0026733A"/>
    <w:rsid w:val="002F705E"/>
    <w:rsid w:val="0038476D"/>
    <w:rsid w:val="003B4AFE"/>
    <w:rsid w:val="004018EE"/>
    <w:rsid w:val="00417904"/>
    <w:rsid w:val="00494D1E"/>
    <w:rsid w:val="004A1D18"/>
    <w:rsid w:val="004C517C"/>
    <w:rsid w:val="00512522"/>
    <w:rsid w:val="0055485F"/>
    <w:rsid w:val="00561628"/>
    <w:rsid w:val="0056166D"/>
    <w:rsid w:val="0058528F"/>
    <w:rsid w:val="00593635"/>
    <w:rsid w:val="005F74BB"/>
    <w:rsid w:val="006432E7"/>
    <w:rsid w:val="006437F5"/>
    <w:rsid w:val="006468E5"/>
    <w:rsid w:val="00647154"/>
    <w:rsid w:val="00674056"/>
    <w:rsid w:val="006B2812"/>
    <w:rsid w:val="006C48D9"/>
    <w:rsid w:val="006D4C42"/>
    <w:rsid w:val="0073706A"/>
    <w:rsid w:val="00790186"/>
    <w:rsid w:val="00790E4F"/>
    <w:rsid w:val="00791EB5"/>
    <w:rsid w:val="007C68D9"/>
    <w:rsid w:val="007F06E4"/>
    <w:rsid w:val="00803B6C"/>
    <w:rsid w:val="00850BA3"/>
    <w:rsid w:val="008652AE"/>
    <w:rsid w:val="00891DC2"/>
    <w:rsid w:val="00902243"/>
    <w:rsid w:val="00920076"/>
    <w:rsid w:val="00923159"/>
    <w:rsid w:val="0094295F"/>
    <w:rsid w:val="00991F5E"/>
    <w:rsid w:val="009D040A"/>
    <w:rsid w:val="00A81105"/>
    <w:rsid w:val="00A845C3"/>
    <w:rsid w:val="00AF6431"/>
    <w:rsid w:val="00AF7191"/>
    <w:rsid w:val="00B029ED"/>
    <w:rsid w:val="00B64CAC"/>
    <w:rsid w:val="00B920A4"/>
    <w:rsid w:val="00BB6701"/>
    <w:rsid w:val="00C24ECB"/>
    <w:rsid w:val="00C416E7"/>
    <w:rsid w:val="00C769D7"/>
    <w:rsid w:val="00CE088C"/>
    <w:rsid w:val="00D30DCD"/>
    <w:rsid w:val="00D72B4B"/>
    <w:rsid w:val="00D97493"/>
    <w:rsid w:val="00DB3B0C"/>
    <w:rsid w:val="00DE0D3B"/>
    <w:rsid w:val="00DE343F"/>
    <w:rsid w:val="00E02EEE"/>
    <w:rsid w:val="00EB5560"/>
    <w:rsid w:val="00EF66F9"/>
    <w:rsid w:val="00EF702D"/>
    <w:rsid w:val="00EF7169"/>
    <w:rsid w:val="00F3567F"/>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2B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B4B"/>
  </w:style>
  <w:style w:type="paragraph" w:styleId="Pidipagina">
    <w:name w:val="footer"/>
    <w:basedOn w:val="Normale"/>
    <w:link w:val="PidipaginaCarattere"/>
    <w:uiPriority w:val="99"/>
    <w:unhideWhenUsed/>
    <w:rsid w:val="00D72B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B4B"/>
  </w:style>
  <w:style w:type="paragraph" w:styleId="Testofumetto">
    <w:name w:val="Balloon Text"/>
    <w:basedOn w:val="Normale"/>
    <w:link w:val="TestofumettoCarattere"/>
    <w:uiPriority w:val="99"/>
    <w:semiHidden/>
    <w:unhideWhenUsed/>
    <w:rsid w:val="00D72B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2B4B"/>
    <w:rPr>
      <w:rFonts w:ascii="Tahoma" w:hAnsi="Tahoma" w:cs="Tahoma"/>
      <w:sz w:val="16"/>
      <w:szCs w:val="16"/>
    </w:rPr>
  </w:style>
  <w:style w:type="table" w:styleId="Grigliatabella">
    <w:name w:val="Table Grid"/>
    <w:basedOn w:val="Tabellanormale"/>
    <w:uiPriority w:val="39"/>
    <w:rsid w:val="00417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A81105"/>
  </w:style>
  <w:style w:type="paragraph" w:styleId="Paragrafoelenco">
    <w:name w:val="List Paragraph"/>
    <w:basedOn w:val="Normale"/>
    <w:uiPriority w:val="34"/>
    <w:qFormat/>
    <w:rsid w:val="00A811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2B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B4B"/>
  </w:style>
  <w:style w:type="paragraph" w:styleId="Pidipagina">
    <w:name w:val="footer"/>
    <w:basedOn w:val="Normale"/>
    <w:link w:val="PidipaginaCarattere"/>
    <w:uiPriority w:val="99"/>
    <w:unhideWhenUsed/>
    <w:rsid w:val="00D72B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B4B"/>
  </w:style>
  <w:style w:type="paragraph" w:styleId="Testofumetto">
    <w:name w:val="Balloon Text"/>
    <w:basedOn w:val="Normale"/>
    <w:link w:val="TestofumettoCarattere"/>
    <w:uiPriority w:val="99"/>
    <w:semiHidden/>
    <w:unhideWhenUsed/>
    <w:rsid w:val="00D72B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2B4B"/>
    <w:rPr>
      <w:rFonts w:ascii="Tahoma" w:hAnsi="Tahoma" w:cs="Tahoma"/>
      <w:sz w:val="16"/>
      <w:szCs w:val="16"/>
    </w:rPr>
  </w:style>
  <w:style w:type="table" w:styleId="Grigliatabella">
    <w:name w:val="Table Grid"/>
    <w:basedOn w:val="Tabellanormale"/>
    <w:uiPriority w:val="39"/>
    <w:rsid w:val="00417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A81105"/>
  </w:style>
  <w:style w:type="paragraph" w:styleId="Paragrafoelenco">
    <w:name w:val="List Paragraph"/>
    <w:basedOn w:val="Normale"/>
    <w:uiPriority w:val="34"/>
    <w:qFormat/>
    <w:rsid w:val="00A81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8117">
      <w:bodyDiv w:val="1"/>
      <w:marLeft w:val="0"/>
      <w:marRight w:val="0"/>
      <w:marTop w:val="0"/>
      <w:marBottom w:val="0"/>
      <w:divBdr>
        <w:top w:val="none" w:sz="0" w:space="0" w:color="auto"/>
        <w:left w:val="none" w:sz="0" w:space="0" w:color="auto"/>
        <w:bottom w:val="none" w:sz="0" w:space="0" w:color="auto"/>
        <w:right w:val="none" w:sz="0" w:space="0" w:color="auto"/>
      </w:divBdr>
    </w:div>
    <w:div w:id="9015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F1B41-C851-4073-A092-7BBB7F3A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1470</Words>
  <Characters>8380</Characters>
  <Application>Microsoft Office Word</Application>
  <DocSecurity>0</DocSecurity>
  <Lines>69</Lines>
  <Paragraphs>19</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Parlamentsdienste</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Chiesa</dc:creator>
  <cp:lastModifiedBy>Piero Marchesi</cp:lastModifiedBy>
  <cp:revision>46</cp:revision>
  <dcterms:created xsi:type="dcterms:W3CDTF">2017-12-13T10:36:00Z</dcterms:created>
  <dcterms:modified xsi:type="dcterms:W3CDTF">2017-12-13T11:20:00Z</dcterms:modified>
</cp:coreProperties>
</file>